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796" w:rsidRDefault="00651796" w:rsidP="00AD4B2F"/>
    <w:p w:rsidR="00696CDF" w:rsidRPr="00C40263" w:rsidRDefault="0033720B" w:rsidP="00AD4B2F">
      <w:pPr>
        <w:rPr>
          <w:b/>
          <w:sz w:val="22"/>
          <w:szCs w:val="22"/>
        </w:rPr>
      </w:pPr>
      <w:r w:rsidRPr="0033720B">
        <w:rPr>
          <w:b/>
          <w:sz w:val="22"/>
          <w:szCs w:val="22"/>
        </w:rPr>
        <w:t xml:space="preserve">Painting on an Electronic Easel: </w:t>
      </w:r>
      <w:r w:rsidR="00FE7DEA">
        <w:rPr>
          <w:b/>
          <w:sz w:val="22"/>
          <w:szCs w:val="22"/>
        </w:rPr>
        <w:t xml:space="preserve">Strategies for </w:t>
      </w:r>
      <w:r w:rsidR="00056942">
        <w:rPr>
          <w:b/>
          <w:sz w:val="22"/>
          <w:szCs w:val="22"/>
        </w:rPr>
        <w:t>Using a Smart Board in Library</w:t>
      </w:r>
      <w:r w:rsidRPr="0033720B">
        <w:rPr>
          <w:b/>
          <w:sz w:val="22"/>
          <w:szCs w:val="22"/>
        </w:rPr>
        <w:t xml:space="preserve"> Instruction</w:t>
      </w:r>
    </w:p>
    <w:p w:rsidR="00696CDF" w:rsidRPr="00E049FC" w:rsidRDefault="00696CDF" w:rsidP="00AD4B2F">
      <w:pPr>
        <w:rPr>
          <w:sz w:val="22"/>
          <w:szCs w:val="22"/>
        </w:rPr>
      </w:pPr>
    </w:p>
    <w:p w:rsidR="0033720B" w:rsidRDefault="0033720B" w:rsidP="00AD4B2F">
      <w:pPr>
        <w:rPr>
          <w:sz w:val="22"/>
          <w:szCs w:val="22"/>
        </w:rPr>
      </w:pPr>
      <w:r w:rsidRPr="0033720B">
        <w:rPr>
          <w:sz w:val="22"/>
          <w:szCs w:val="22"/>
        </w:rPr>
        <w:t>Lindy Scripps-Hoekstra</w:t>
      </w:r>
    </w:p>
    <w:p w:rsidR="0033720B" w:rsidRDefault="0033720B" w:rsidP="00AD4B2F">
      <w:pPr>
        <w:rPr>
          <w:sz w:val="22"/>
          <w:szCs w:val="22"/>
        </w:rPr>
      </w:pPr>
      <w:r>
        <w:rPr>
          <w:sz w:val="22"/>
          <w:szCs w:val="22"/>
        </w:rPr>
        <w:t>Liberal Arts Liaison Librarian</w:t>
      </w:r>
    </w:p>
    <w:p w:rsidR="0033720B" w:rsidRDefault="0033720B" w:rsidP="00AD4B2F">
      <w:pPr>
        <w:rPr>
          <w:sz w:val="22"/>
          <w:szCs w:val="22"/>
        </w:rPr>
      </w:pPr>
      <w:r>
        <w:rPr>
          <w:sz w:val="22"/>
          <w:szCs w:val="22"/>
        </w:rPr>
        <w:t>Grand Valley State University</w:t>
      </w:r>
    </w:p>
    <w:p w:rsidR="0033720B" w:rsidRDefault="0033720B" w:rsidP="00AD4B2F">
      <w:pPr>
        <w:rPr>
          <w:sz w:val="22"/>
          <w:szCs w:val="22"/>
        </w:rPr>
      </w:pPr>
    </w:p>
    <w:p w:rsidR="0033720B" w:rsidRDefault="0033720B" w:rsidP="00AD4B2F">
      <w:pPr>
        <w:rPr>
          <w:sz w:val="22"/>
          <w:szCs w:val="22"/>
        </w:rPr>
      </w:pPr>
      <w:r>
        <w:rPr>
          <w:sz w:val="22"/>
          <w:szCs w:val="22"/>
        </w:rPr>
        <w:t xml:space="preserve">240f Mary </w:t>
      </w:r>
      <w:proofErr w:type="spellStart"/>
      <w:r>
        <w:rPr>
          <w:sz w:val="22"/>
          <w:szCs w:val="22"/>
        </w:rPr>
        <w:t>Idema</w:t>
      </w:r>
      <w:proofErr w:type="spellEnd"/>
      <w:r>
        <w:rPr>
          <w:sz w:val="22"/>
          <w:szCs w:val="22"/>
        </w:rPr>
        <w:t xml:space="preserve"> Pew Library</w:t>
      </w:r>
    </w:p>
    <w:p w:rsidR="0033720B" w:rsidRDefault="0033720B" w:rsidP="00AD4B2F">
      <w:pPr>
        <w:rPr>
          <w:sz w:val="22"/>
          <w:szCs w:val="22"/>
        </w:rPr>
      </w:pPr>
      <w:r>
        <w:rPr>
          <w:sz w:val="22"/>
          <w:szCs w:val="22"/>
        </w:rPr>
        <w:t>1 Campus Drive</w:t>
      </w:r>
    </w:p>
    <w:p w:rsidR="00AD4B2F" w:rsidRPr="0033720B" w:rsidRDefault="0033720B" w:rsidP="00AD4B2F">
      <w:pPr>
        <w:rPr>
          <w:sz w:val="22"/>
          <w:szCs w:val="22"/>
        </w:rPr>
      </w:pPr>
      <w:r>
        <w:rPr>
          <w:sz w:val="22"/>
          <w:szCs w:val="22"/>
        </w:rPr>
        <w:t>Allendale, MI 49401</w:t>
      </w:r>
      <w:r w:rsidR="00AD4B2F" w:rsidRPr="00E049FC">
        <w:rPr>
          <w:sz w:val="22"/>
          <w:szCs w:val="22"/>
        </w:rPr>
        <w:br/>
      </w:r>
    </w:p>
    <w:p w:rsidR="001838A3" w:rsidRDefault="00284A35" w:rsidP="00172609">
      <w:pPr>
        <w:rPr>
          <w:sz w:val="22"/>
          <w:szCs w:val="22"/>
        </w:rPr>
      </w:pPr>
      <w:r w:rsidRPr="00E049FC">
        <w:rPr>
          <w:sz w:val="22"/>
          <w:szCs w:val="22"/>
        </w:rPr>
        <w:t>Keyword</w:t>
      </w:r>
      <w:r w:rsidR="001838A3">
        <w:rPr>
          <w:sz w:val="22"/>
          <w:szCs w:val="22"/>
        </w:rPr>
        <w:t>s:</w:t>
      </w:r>
    </w:p>
    <w:p w:rsidR="001838A3" w:rsidRPr="00976F4B" w:rsidRDefault="001838A3" w:rsidP="00172609">
      <w:pPr>
        <w:rPr>
          <w:sz w:val="22"/>
          <w:szCs w:val="22"/>
        </w:rPr>
        <w:sectPr w:rsidR="001838A3" w:rsidRPr="00976F4B" w:rsidSect="009A216B">
          <w:footerReference w:type="even" r:id="rId9"/>
          <w:footerReference w:type="default" r:id="rId10"/>
          <w:pgSz w:w="12240" w:h="15840" w:code="1"/>
          <w:pgMar w:top="1080" w:right="864" w:bottom="1080" w:left="864" w:header="720" w:footer="576" w:gutter="0"/>
          <w:pgNumType w:start="0"/>
          <w:cols w:space="720"/>
          <w:titlePg/>
          <w:docGrid w:linePitch="360"/>
        </w:sectPr>
      </w:pPr>
      <w:r>
        <w:rPr>
          <w:sz w:val="22"/>
          <w:szCs w:val="22"/>
        </w:rPr>
        <w:t>Interactive whiteboards, smart boar</w:t>
      </w:r>
      <w:r w:rsidR="004022DD">
        <w:rPr>
          <w:sz w:val="22"/>
          <w:szCs w:val="22"/>
        </w:rPr>
        <w:t>ds, library instruction, lessons</w:t>
      </w:r>
      <w:r w:rsidR="00056942">
        <w:rPr>
          <w:sz w:val="22"/>
          <w:szCs w:val="22"/>
        </w:rPr>
        <w:t>, information literacy</w:t>
      </w:r>
    </w:p>
    <w:p w:rsidR="00976F4B" w:rsidRPr="001F1A01" w:rsidRDefault="00976F4B" w:rsidP="00976F4B">
      <w:pPr>
        <w:spacing w:after="360"/>
        <w:jc w:val="center"/>
        <w:outlineLvl w:val="0"/>
        <w:rPr>
          <w:rFonts w:ascii="Times New Roman Bold" w:hAnsi="Times New Roman Bold"/>
          <w:b/>
          <w:smallCaps/>
          <w:sz w:val="40"/>
          <w:szCs w:val="40"/>
        </w:rPr>
      </w:pPr>
      <w:r>
        <w:rPr>
          <w:rFonts w:ascii="Times New Roman Bold" w:hAnsi="Times New Roman Bold"/>
          <w:b/>
          <w:smallCaps/>
          <w:sz w:val="40"/>
          <w:szCs w:val="40"/>
        </w:rPr>
        <w:lastRenderedPageBreak/>
        <w:t xml:space="preserve">Painting on an Electronic Easel: </w:t>
      </w:r>
      <w:r w:rsidR="00FE7DEA">
        <w:rPr>
          <w:rFonts w:ascii="Times New Roman Bold" w:hAnsi="Times New Roman Bold"/>
          <w:b/>
          <w:smallCaps/>
          <w:sz w:val="40"/>
          <w:szCs w:val="40"/>
        </w:rPr>
        <w:t xml:space="preserve">Strategies </w:t>
      </w:r>
      <w:r>
        <w:rPr>
          <w:rFonts w:ascii="Times New Roman Bold" w:hAnsi="Times New Roman Bold"/>
          <w:b/>
          <w:smallCaps/>
          <w:sz w:val="40"/>
          <w:szCs w:val="40"/>
        </w:rPr>
        <w:t>for using a Smart</w:t>
      </w:r>
      <w:r w:rsidR="00B33C6D">
        <w:rPr>
          <w:rFonts w:ascii="Times New Roman Bold" w:hAnsi="Times New Roman Bold"/>
          <w:b/>
          <w:smallCaps/>
          <w:sz w:val="40"/>
          <w:szCs w:val="40"/>
        </w:rPr>
        <w:t xml:space="preserve"> </w:t>
      </w:r>
      <w:r w:rsidR="00FE7DEA">
        <w:rPr>
          <w:rFonts w:ascii="Times New Roman Bold" w:hAnsi="Times New Roman Bold"/>
          <w:b/>
          <w:smallCaps/>
          <w:sz w:val="40"/>
          <w:szCs w:val="40"/>
        </w:rPr>
        <w:t>board in Library</w:t>
      </w:r>
      <w:r>
        <w:rPr>
          <w:rFonts w:ascii="Times New Roman Bold" w:hAnsi="Times New Roman Bold"/>
          <w:b/>
          <w:smallCaps/>
          <w:sz w:val="40"/>
          <w:szCs w:val="40"/>
        </w:rPr>
        <w:t xml:space="preserve"> Instruction</w:t>
      </w:r>
    </w:p>
    <w:p w:rsidR="00C62217" w:rsidRPr="00C62217" w:rsidRDefault="00B20D6C" w:rsidP="00C62217">
      <w:pPr>
        <w:spacing w:after="360"/>
        <w:jc w:val="center"/>
        <w:outlineLvl w:val="0"/>
        <w:rPr>
          <w:rFonts w:ascii="Times New Roman Bold" w:hAnsi="Times New Roman Bold"/>
          <w:b/>
          <w:smallCaps/>
          <w:sz w:val="28"/>
          <w:szCs w:val="28"/>
        </w:rPr>
      </w:pPr>
      <w:r w:rsidRPr="00B20D6C">
        <w:rPr>
          <w:rFonts w:ascii="Times New Roman Bold" w:hAnsi="Times New Roman Bold"/>
          <w:b/>
          <w:smallCaps/>
          <w:sz w:val="28"/>
          <w:szCs w:val="28"/>
        </w:rPr>
        <w:t xml:space="preserve"> </w:t>
      </w:r>
      <w:r w:rsidR="00C62217">
        <w:rPr>
          <w:rFonts w:ascii="Times New Roman Bold" w:hAnsi="Times New Roman Bold"/>
          <w:b/>
          <w:smallCaps/>
          <w:sz w:val="28"/>
          <w:szCs w:val="28"/>
        </w:rPr>
        <w:t>Lindy Scripps-Hoekstra</w:t>
      </w:r>
    </w:p>
    <w:p w:rsidR="00C62217" w:rsidRDefault="00C62217" w:rsidP="00C62217">
      <w:pPr>
        <w:pStyle w:val="Pa3"/>
        <w:spacing w:after="200" w:line="276" w:lineRule="auto"/>
        <w:outlineLvl w:val="0"/>
        <w:rPr>
          <w:rFonts w:ascii="Times New Roman Bold" w:hAnsi="Times New Roman Bold"/>
          <w:b/>
          <w:smallCaps/>
          <w:color w:val="000000"/>
        </w:rPr>
      </w:pPr>
      <w:r>
        <w:rPr>
          <w:rFonts w:ascii="Times New Roman Bold" w:hAnsi="Times New Roman Bold"/>
          <w:b/>
          <w:smallCaps/>
          <w:color w:val="000000"/>
        </w:rPr>
        <w:t>Introduction</w:t>
      </w:r>
    </w:p>
    <w:p w:rsidR="00C62217" w:rsidRPr="00485201" w:rsidRDefault="00C62217" w:rsidP="00C62217">
      <w:pPr>
        <w:spacing w:line="240" w:lineRule="auto"/>
      </w:pPr>
      <w:r>
        <w:tab/>
        <w:t xml:space="preserve">In 2013, Grand Valley State University opened the new Mary </w:t>
      </w:r>
      <w:proofErr w:type="spellStart"/>
      <w:r>
        <w:t>Idema</w:t>
      </w:r>
      <w:proofErr w:type="spellEnd"/>
      <w:r>
        <w:t xml:space="preserve"> Pew Library Learning and Information Commons, an innovative space designed to promote and support student learning in non-traditional ways. One of the features of this new building is a learnin</w:t>
      </w:r>
      <w:r w:rsidR="00240000">
        <w:t>g lab with an interactive white</w:t>
      </w:r>
      <w:r>
        <w:t xml:space="preserve">board (IWB). As a former high school history teacher, I had taught with an IWB in my </w:t>
      </w:r>
      <w:r w:rsidR="004022DD">
        <w:t>classroom and was comfortable</w:t>
      </w:r>
      <w:r>
        <w:t xml:space="preserve"> with the use of this technology at the secondary level. However, using an IWB to teach information literacy skills to college students represented a new challenge and made me rethink my approach, building off my previous experience to create engaging lessons for undergraduates. </w:t>
      </w:r>
    </w:p>
    <w:p w:rsidR="00C62217" w:rsidRDefault="00C62217" w:rsidP="00C62217">
      <w:pPr>
        <w:spacing w:line="240" w:lineRule="auto"/>
        <w:ind w:firstLine="720"/>
      </w:pPr>
      <w:r>
        <w:t>Often referred to by the brand name “Smart Board”, IWBs are</w:t>
      </w:r>
      <w:r w:rsidRPr="00B33C6D">
        <w:t xml:space="preserve"> becoming more common in higher education. </w:t>
      </w:r>
      <w:r>
        <w:t xml:space="preserve">Originally designed for corporate settings in the early 1990’s, interactive whiteboards caught on quickly in K-12 education, with many districts now featuring IWBs in nearly every classroom (Young, 2002).  Students graduating from these technologically rich high schools come to campus with the expectation to experience the same level of interactivity (Young, 2006).  </w:t>
      </w:r>
      <w:r w:rsidR="001D4431">
        <w:t>As m</w:t>
      </w:r>
      <w:r>
        <w:t xml:space="preserve">any colleges and universities have </w:t>
      </w:r>
      <w:r w:rsidR="001D4431">
        <w:t xml:space="preserve">begun to add IWBs, </w:t>
      </w:r>
      <w:r>
        <w:t>a growing number of ac</w:t>
      </w:r>
      <w:r w:rsidR="001D4431">
        <w:t>ademic libraries have also started</w:t>
      </w:r>
      <w:r>
        <w:t xml:space="preserve"> to feature this te</w:t>
      </w:r>
      <w:r w:rsidR="00C2244A">
        <w:t>chnology</w:t>
      </w:r>
      <w:r w:rsidR="001D4431">
        <w:t>. A 2012 Association of Research Libraries</w:t>
      </w:r>
      <w:r w:rsidR="00722015">
        <w:t xml:space="preserve"> survey found that 49% of institutions (30) reported that they currently offer or plan to offer IWBs</w:t>
      </w:r>
      <w:r w:rsidR="00584AB5">
        <w:t>,</w:t>
      </w:r>
      <w:r w:rsidR="00722015">
        <w:t xml:space="preserve"> with an additional 11 institutions featuring this tech</w:t>
      </w:r>
      <w:r w:rsidR="001D4431">
        <w:t>nology elsewhere on campus.</w:t>
      </w:r>
      <w:r w:rsidR="00C2244A">
        <w:t xml:space="preserve"> </w:t>
      </w:r>
      <w:proofErr w:type="gramStart"/>
      <w:r w:rsidR="00C2244A">
        <w:t>(Ochoa &amp; Caswell, 2012</w:t>
      </w:r>
      <w:r>
        <w:t>).</w:t>
      </w:r>
      <w:proofErr w:type="gramEnd"/>
      <w:r>
        <w:t xml:space="preserve"> As IWBs become more common, librarians need to be prepared to incorporate this tool into their instruction, effectively utilizing the unique technological benefits available to help create engaging, student-centered information literacy instruction sessions.</w:t>
      </w:r>
    </w:p>
    <w:p w:rsidR="00C62217" w:rsidRDefault="00C62217" w:rsidP="00C62217">
      <w:pPr>
        <w:pStyle w:val="Pa3"/>
        <w:spacing w:after="200" w:line="276" w:lineRule="auto"/>
        <w:outlineLvl w:val="0"/>
        <w:rPr>
          <w:rFonts w:ascii="Times New Roman Bold" w:hAnsi="Times New Roman Bold"/>
          <w:b/>
          <w:smallCaps/>
          <w:color w:val="000000"/>
        </w:rPr>
      </w:pPr>
      <w:r>
        <w:rPr>
          <w:rFonts w:ascii="Times New Roman Bold" w:hAnsi="Times New Roman Bold"/>
          <w:b/>
          <w:smallCaps/>
          <w:color w:val="000000"/>
        </w:rPr>
        <w:t>Impact on Student Engagement</w:t>
      </w:r>
    </w:p>
    <w:p w:rsidR="00C62217" w:rsidRDefault="00C62217" w:rsidP="00C62217">
      <w:pPr>
        <w:pStyle w:val="Default"/>
        <w:ind w:firstLine="720"/>
        <w:rPr>
          <w:sz w:val="20"/>
          <w:szCs w:val="20"/>
        </w:rPr>
      </w:pPr>
      <w:r w:rsidRPr="00C86F11">
        <w:rPr>
          <w:sz w:val="20"/>
          <w:szCs w:val="20"/>
        </w:rPr>
        <w:t xml:space="preserve">There is a wealth of literature </w:t>
      </w:r>
      <w:r>
        <w:rPr>
          <w:sz w:val="20"/>
          <w:szCs w:val="20"/>
        </w:rPr>
        <w:t>on the impact of IWBs</w:t>
      </w:r>
      <w:r w:rsidRPr="00C86F11">
        <w:rPr>
          <w:sz w:val="20"/>
          <w:szCs w:val="20"/>
        </w:rPr>
        <w:t xml:space="preserve">, most of which centers on </w:t>
      </w:r>
      <w:r>
        <w:rPr>
          <w:sz w:val="20"/>
          <w:szCs w:val="20"/>
        </w:rPr>
        <w:t xml:space="preserve">anecdotal evidence </w:t>
      </w:r>
      <w:r w:rsidRPr="00C86F11">
        <w:rPr>
          <w:sz w:val="20"/>
          <w:szCs w:val="20"/>
        </w:rPr>
        <w:t xml:space="preserve">linking </w:t>
      </w:r>
      <w:r>
        <w:rPr>
          <w:sz w:val="20"/>
          <w:szCs w:val="20"/>
        </w:rPr>
        <w:t xml:space="preserve">this technology </w:t>
      </w:r>
      <w:r w:rsidRPr="00C86F11">
        <w:rPr>
          <w:sz w:val="20"/>
          <w:szCs w:val="20"/>
        </w:rPr>
        <w:t>to increased student engagement.  Glover and Miller (2001) found the use of IWBs increased student motivation as teachers were</w:t>
      </w:r>
      <w:r>
        <w:rPr>
          <w:sz w:val="20"/>
          <w:szCs w:val="20"/>
        </w:rPr>
        <w:t xml:space="preserve"> able to</w:t>
      </w:r>
      <w:r w:rsidRPr="00C86F11">
        <w:rPr>
          <w:sz w:val="20"/>
          <w:szCs w:val="20"/>
        </w:rPr>
        <w:t xml:space="preserve"> accom</w:t>
      </w:r>
      <w:r>
        <w:rPr>
          <w:sz w:val="20"/>
          <w:szCs w:val="20"/>
        </w:rPr>
        <w:t>modate multiple learning styles</w:t>
      </w:r>
      <w:r w:rsidRPr="00C86F11">
        <w:rPr>
          <w:sz w:val="20"/>
          <w:szCs w:val="20"/>
        </w:rPr>
        <w:t xml:space="preserve"> by seamlessly incorporating web links, audio files, videos</w:t>
      </w:r>
      <w:r w:rsidR="00240000">
        <w:rPr>
          <w:sz w:val="20"/>
          <w:szCs w:val="20"/>
        </w:rPr>
        <w:t>, and images into</w:t>
      </w:r>
      <w:r w:rsidRPr="00C86F11">
        <w:rPr>
          <w:sz w:val="20"/>
          <w:szCs w:val="20"/>
        </w:rPr>
        <w:t xml:space="preserve"> lesson</w:t>
      </w:r>
      <w:r w:rsidR="00240000">
        <w:rPr>
          <w:sz w:val="20"/>
          <w:szCs w:val="20"/>
        </w:rPr>
        <w:t>s</w:t>
      </w:r>
      <w:r w:rsidRPr="00C86F11">
        <w:rPr>
          <w:sz w:val="20"/>
          <w:szCs w:val="20"/>
        </w:rPr>
        <w:t>. In</w:t>
      </w:r>
      <w:r w:rsidR="00240000">
        <w:rPr>
          <w:sz w:val="20"/>
          <w:szCs w:val="20"/>
        </w:rPr>
        <w:t xml:space="preserve"> their 2011study, </w:t>
      </w:r>
      <w:proofErr w:type="spellStart"/>
      <w:r w:rsidR="00240000">
        <w:rPr>
          <w:sz w:val="20"/>
          <w:szCs w:val="20"/>
        </w:rPr>
        <w:t>Xu</w:t>
      </w:r>
      <w:proofErr w:type="spellEnd"/>
      <w:r w:rsidR="00240000">
        <w:rPr>
          <w:sz w:val="20"/>
          <w:szCs w:val="20"/>
        </w:rPr>
        <w:t xml:space="preserve"> and </w:t>
      </w:r>
      <w:proofErr w:type="spellStart"/>
      <w:r w:rsidR="00240000">
        <w:rPr>
          <w:sz w:val="20"/>
          <w:szCs w:val="20"/>
        </w:rPr>
        <w:t>Mo</w:t>
      </w:r>
      <w:r w:rsidRPr="00C86F11">
        <w:rPr>
          <w:sz w:val="20"/>
          <w:szCs w:val="20"/>
        </w:rPr>
        <w:t>loney</w:t>
      </w:r>
      <w:proofErr w:type="spellEnd"/>
      <w:r w:rsidRPr="00C86F11">
        <w:rPr>
          <w:sz w:val="20"/>
          <w:szCs w:val="20"/>
        </w:rPr>
        <w:t xml:space="preserve"> found that undergraduate students appreciated the participatory nature of the IWB and had an “appetite for and enthusiastic response to innovative teaching” (p. 26). These college students did not view the IWB as being juvenile but rather embraced the interactive and collaborative nature of class activities. Schroeder (2008) found that his university students also responded positively to an IWB, reporting that it captured their attention and motivated their work. Ball (2003) noted that student engagement may also be enhanced by an IWB as this allows the teacher to face the class directly as opposed t</w:t>
      </w:r>
      <w:r>
        <w:rPr>
          <w:sz w:val="20"/>
          <w:szCs w:val="20"/>
        </w:rPr>
        <w:t xml:space="preserve">o being stuck behind the </w:t>
      </w:r>
      <w:r w:rsidRPr="00C86F11">
        <w:rPr>
          <w:sz w:val="20"/>
          <w:szCs w:val="20"/>
        </w:rPr>
        <w:t xml:space="preserve">computer connected to an overhead projector—a common dilemma for many librarians </w:t>
      </w:r>
      <w:r>
        <w:rPr>
          <w:sz w:val="20"/>
          <w:szCs w:val="20"/>
        </w:rPr>
        <w:t xml:space="preserve">while </w:t>
      </w:r>
      <w:r w:rsidRPr="00C86F11">
        <w:rPr>
          <w:sz w:val="20"/>
          <w:szCs w:val="20"/>
        </w:rPr>
        <w:t xml:space="preserve">demonstrating the use of a resource.  </w:t>
      </w:r>
    </w:p>
    <w:p w:rsidR="00C62217" w:rsidRPr="00C86F11" w:rsidRDefault="00C62217" w:rsidP="00C62217">
      <w:pPr>
        <w:pStyle w:val="Default"/>
        <w:rPr>
          <w:sz w:val="20"/>
          <w:szCs w:val="20"/>
        </w:rPr>
      </w:pPr>
    </w:p>
    <w:p w:rsidR="00C62217" w:rsidRDefault="00C62217" w:rsidP="00C62217">
      <w:pPr>
        <w:pStyle w:val="Default"/>
        <w:ind w:firstLine="720"/>
        <w:rPr>
          <w:sz w:val="20"/>
          <w:szCs w:val="20"/>
        </w:rPr>
      </w:pPr>
      <w:r>
        <w:rPr>
          <w:sz w:val="20"/>
          <w:szCs w:val="20"/>
        </w:rPr>
        <w:t>It is important to note that w</w:t>
      </w:r>
      <w:r w:rsidRPr="00C86F11">
        <w:rPr>
          <w:sz w:val="20"/>
          <w:szCs w:val="20"/>
        </w:rPr>
        <w:t xml:space="preserve">hile increased student engagement may very likely lead to a higher attainment levels, there is little </w:t>
      </w:r>
      <w:r>
        <w:rPr>
          <w:sz w:val="20"/>
          <w:szCs w:val="20"/>
        </w:rPr>
        <w:t xml:space="preserve">empirical </w:t>
      </w:r>
      <w:r w:rsidRPr="00C86F11">
        <w:rPr>
          <w:sz w:val="20"/>
          <w:szCs w:val="20"/>
        </w:rPr>
        <w:t>evidence to suggest that adding an IWB will subsequently raise student achievement (Glover et al., 2007).  A teaching tool, no matter how flashy and technologically advanced, cannot provide an adequate s</w:t>
      </w:r>
      <w:r w:rsidR="00240000">
        <w:rPr>
          <w:sz w:val="20"/>
          <w:szCs w:val="20"/>
        </w:rPr>
        <w:t>ubstitute for sound pedagogy</w:t>
      </w:r>
      <w:r w:rsidRPr="00C86F11">
        <w:rPr>
          <w:sz w:val="20"/>
          <w:szCs w:val="20"/>
        </w:rPr>
        <w:t xml:space="preserve">.  </w:t>
      </w:r>
    </w:p>
    <w:p w:rsidR="00C62217" w:rsidRPr="00C62217" w:rsidRDefault="00C62217" w:rsidP="00C62217">
      <w:pPr>
        <w:pStyle w:val="Default"/>
        <w:ind w:firstLine="720"/>
        <w:rPr>
          <w:sz w:val="20"/>
          <w:szCs w:val="20"/>
        </w:rPr>
      </w:pPr>
    </w:p>
    <w:p w:rsidR="00C62217" w:rsidRDefault="00C62217" w:rsidP="00C62217">
      <w:pPr>
        <w:pStyle w:val="Pa4"/>
        <w:spacing w:after="200" w:line="276" w:lineRule="auto"/>
        <w:rPr>
          <w:rFonts w:ascii="Times New Roman Bold" w:hAnsi="Times New Roman Bold"/>
          <w:b/>
          <w:smallCaps/>
          <w:color w:val="000000"/>
        </w:rPr>
      </w:pPr>
      <w:r>
        <w:rPr>
          <w:rFonts w:ascii="Times New Roman Bold" w:hAnsi="Times New Roman Bold"/>
          <w:b/>
          <w:smallCaps/>
          <w:color w:val="000000"/>
        </w:rPr>
        <w:t>Using an IWB</w:t>
      </w:r>
    </w:p>
    <w:p w:rsidR="00C62217" w:rsidRPr="0074451C" w:rsidRDefault="00C62217" w:rsidP="00C62217">
      <w:pPr>
        <w:pStyle w:val="Default"/>
        <w:rPr>
          <w:sz w:val="20"/>
          <w:szCs w:val="20"/>
        </w:rPr>
      </w:pPr>
      <w:r>
        <w:rPr>
          <w:sz w:val="20"/>
          <w:szCs w:val="20"/>
        </w:rPr>
        <w:tab/>
        <w:t>While there are differences between brands, the basic IWB includes a large screen resembling a standard whiteboard that can be manipulated through the use of included tools (stylus and eraser) and increasingly, through one’s own palm and fingers. Perhaps the most important component of an IWB is the software that accompanies it. IWB software varies from brand-to-brand, but generally resembles Microsoft PowerPoint, allowing the user to create presentational slides. While you can project PowerPoint slides onto an IWB screen, these slides will be static and immovable-- you and your students will not be able to interact with the screen any more than a standard projection display.  Slides created using IWB software, however, can be manipulated and interacted with, allowing for a variety of creative uses. “Knowing what tools you have available to you (and where to find them) leads to a much greater sense of mastery with your IWB, making you much more likely to use the technology in creative and spontaneous ways” (</w:t>
      </w:r>
      <w:proofErr w:type="spellStart"/>
      <w:r>
        <w:rPr>
          <w:sz w:val="20"/>
          <w:szCs w:val="20"/>
        </w:rPr>
        <w:t>Betcher</w:t>
      </w:r>
      <w:proofErr w:type="spellEnd"/>
      <w:r>
        <w:rPr>
          <w:sz w:val="20"/>
          <w:szCs w:val="20"/>
        </w:rPr>
        <w:t xml:space="preserve"> &amp; Lee, 2009, pg. 64). </w:t>
      </w:r>
    </w:p>
    <w:p w:rsidR="00C62217" w:rsidRPr="00C62217" w:rsidRDefault="00C62217" w:rsidP="00C62217">
      <w:pPr>
        <w:spacing w:line="240" w:lineRule="auto"/>
        <w:sectPr w:rsidR="00C62217" w:rsidRPr="00C62217" w:rsidSect="003B3F76">
          <w:pgSz w:w="12240" w:h="15840" w:code="1"/>
          <w:pgMar w:top="1080" w:right="864" w:bottom="1080" w:left="864" w:header="720" w:footer="576" w:gutter="0"/>
          <w:cols w:space="720"/>
          <w:docGrid w:linePitch="360"/>
        </w:sectPr>
      </w:pPr>
    </w:p>
    <w:p w:rsidR="00CC26CE" w:rsidRPr="00283620" w:rsidRDefault="0088051F" w:rsidP="00A54159">
      <w:pPr>
        <w:pStyle w:val="Default"/>
        <w:rPr>
          <w:b/>
        </w:rPr>
      </w:pPr>
      <w:r>
        <w:rPr>
          <w:b/>
        </w:rPr>
        <w:lastRenderedPageBreak/>
        <w:t>STRATEGIES</w:t>
      </w:r>
    </w:p>
    <w:p w:rsidR="00CC26CE" w:rsidRPr="00CC26CE" w:rsidRDefault="00CC26CE" w:rsidP="00A54159">
      <w:pPr>
        <w:pStyle w:val="Default"/>
        <w:rPr>
          <w:sz w:val="20"/>
          <w:szCs w:val="20"/>
        </w:rPr>
      </w:pPr>
    </w:p>
    <w:p w:rsidR="00195C25" w:rsidRDefault="00C91522" w:rsidP="00A54159">
      <w:pPr>
        <w:pStyle w:val="Default"/>
        <w:spacing w:after="200"/>
        <w:rPr>
          <w:b/>
          <w:sz w:val="20"/>
          <w:szCs w:val="20"/>
        </w:rPr>
      </w:pPr>
      <w:r>
        <w:rPr>
          <w:b/>
          <w:sz w:val="20"/>
          <w:szCs w:val="20"/>
        </w:rPr>
        <w:t>“Drag-ability”</w:t>
      </w:r>
    </w:p>
    <w:p w:rsidR="005D7C8D" w:rsidRDefault="00BA0D2B" w:rsidP="00A54159">
      <w:pPr>
        <w:pStyle w:val="Default"/>
        <w:spacing w:after="200"/>
        <w:rPr>
          <w:sz w:val="20"/>
          <w:szCs w:val="20"/>
        </w:rPr>
      </w:pPr>
      <w:r>
        <w:rPr>
          <w:sz w:val="20"/>
          <w:szCs w:val="20"/>
        </w:rPr>
        <w:tab/>
        <w:t xml:space="preserve">Unlike </w:t>
      </w:r>
      <w:proofErr w:type="spellStart"/>
      <w:r>
        <w:rPr>
          <w:sz w:val="20"/>
          <w:szCs w:val="20"/>
        </w:rPr>
        <w:t>Powerpoint</w:t>
      </w:r>
      <w:proofErr w:type="spellEnd"/>
      <w:r>
        <w:rPr>
          <w:sz w:val="20"/>
          <w:szCs w:val="20"/>
        </w:rPr>
        <w:t>, IWB software allows for the creation of moveable text and objects</w:t>
      </w:r>
      <w:r w:rsidR="00240000">
        <w:rPr>
          <w:sz w:val="20"/>
          <w:szCs w:val="20"/>
        </w:rPr>
        <w:t xml:space="preserve"> within a slide</w:t>
      </w:r>
      <w:r>
        <w:rPr>
          <w:sz w:val="20"/>
          <w:szCs w:val="20"/>
        </w:rPr>
        <w:t>.</w:t>
      </w:r>
      <w:r w:rsidR="00C91522">
        <w:rPr>
          <w:sz w:val="20"/>
          <w:szCs w:val="20"/>
        </w:rPr>
        <w:t xml:space="preserve"> “Drag-ability” </w:t>
      </w:r>
      <w:proofErr w:type="gramStart"/>
      <w:r w:rsidR="005D7C8D">
        <w:rPr>
          <w:sz w:val="20"/>
          <w:szCs w:val="20"/>
        </w:rPr>
        <w:t>allows students</w:t>
      </w:r>
      <w:proofErr w:type="gramEnd"/>
      <w:r w:rsidR="00F048B4">
        <w:rPr>
          <w:sz w:val="20"/>
          <w:szCs w:val="20"/>
        </w:rPr>
        <w:t xml:space="preserve"> to move items and text boxes</w:t>
      </w:r>
      <w:r w:rsidR="00240000">
        <w:rPr>
          <w:sz w:val="20"/>
          <w:szCs w:val="20"/>
        </w:rPr>
        <w:t xml:space="preserve"> with</w:t>
      </w:r>
      <w:r w:rsidR="005D7C8D">
        <w:rPr>
          <w:sz w:val="20"/>
          <w:szCs w:val="20"/>
        </w:rPr>
        <w:t xml:space="preserve"> a finger or stylus. By creating movable objects and text </w:t>
      </w:r>
      <w:r w:rsidR="001D4218">
        <w:rPr>
          <w:sz w:val="20"/>
          <w:szCs w:val="20"/>
        </w:rPr>
        <w:t xml:space="preserve">boxes </w:t>
      </w:r>
      <w:r w:rsidR="005D7C8D">
        <w:rPr>
          <w:sz w:val="20"/>
          <w:szCs w:val="20"/>
        </w:rPr>
        <w:t>you can easily create a variety of interactive applications</w:t>
      </w:r>
      <w:r w:rsidR="00F048B4">
        <w:rPr>
          <w:sz w:val="20"/>
          <w:szCs w:val="20"/>
        </w:rPr>
        <w:t>:</w:t>
      </w:r>
    </w:p>
    <w:p w:rsidR="005D7C8D" w:rsidRDefault="005D7C8D" w:rsidP="00A54159">
      <w:pPr>
        <w:pStyle w:val="Default"/>
        <w:numPr>
          <w:ilvl w:val="0"/>
          <w:numId w:val="10"/>
        </w:numPr>
        <w:spacing w:after="200"/>
        <w:rPr>
          <w:sz w:val="20"/>
          <w:szCs w:val="20"/>
        </w:rPr>
      </w:pPr>
      <w:r>
        <w:rPr>
          <w:sz w:val="20"/>
          <w:szCs w:val="20"/>
        </w:rPr>
        <w:t>C</w:t>
      </w:r>
      <w:r w:rsidR="00405C32">
        <w:rPr>
          <w:sz w:val="20"/>
          <w:szCs w:val="20"/>
        </w:rPr>
        <w:t>reate</w:t>
      </w:r>
      <w:r w:rsidR="00BA0D2B">
        <w:rPr>
          <w:sz w:val="20"/>
          <w:szCs w:val="20"/>
        </w:rPr>
        <w:t xml:space="preserve"> </w:t>
      </w:r>
      <w:r w:rsidR="001D4218">
        <w:rPr>
          <w:sz w:val="20"/>
          <w:szCs w:val="20"/>
        </w:rPr>
        <w:t xml:space="preserve">a </w:t>
      </w:r>
      <w:r w:rsidR="00405C32">
        <w:rPr>
          <w:sz w:val="20"/>
          <w:szCs w:val="20"/>
        </w:rPr>
        <w:t>rectangle</w:t>
      </w:r>
      <w:r w:rsidR="001D4218">
        <w:rPr>
          <w:sz w:val="20"/>
          <w:szCs w:val="20"/>
        </w:rPr>
        <w:t xml:space="preserve"> </w:t>
      </w:r>
      <w:r w:rsidR="00BA0D2B">
        <w:rPr>
          <w:sz w:val="20"/>
          <w:szCs w:val="20"/>
        </w:rPr>
        <w:t xml:space="preserve">of a certain color with </w:t>
      </w:r>
      <w:r>
        <w:rPr>
          <w:sz w:val="20"/>
          <w:szCs w:val="20"/>
        </w:rPr>
        <w:t xml:space="preserve">chunks of </w:t>
      </w:r>
      <w:r w:rsidR="00BA0D2B">
        <w:rPr>
          <w:sz w:val="20"/>
          <w:szCs w:val="20"/>
        </w:rPr>
        <w:t>text of the same color “hidden”</w:t>
      </w:r>
      <w:r w:rsidR="001D4218">
        <w:rPr>
          <w:sz w:val="20"/>
          <w:szCs w:val="20"/>
        </w:rPr>
        <w:t xml:space="preserve"> within the shape</w:t>
      </w:r>
      <w:r w:rsidR="00C91522">
        <w:rPr>
          <w:sz w:val="20"/>
          <w:szCs w:val="20"/>
        </w:rPr>
        <w:t>-- s</w:t>
      </w:r>
      <w:r w:rsidR="00BA0D2B">
        <w:rPr>
          <w:sz w:val="20"/>
          <w:szCs w:val="20"/>
        </w:rPr>
        <w:t xml:space="preserve">tudents </w:t>
      </w:r>
      <w:r w:rsidR="00240000">
        <w:rPr>
          <w:sz w:val="20"/>
          <w:szCs w:val="20"/>
        </w:rPr>
        <w:t>can</w:t>
      </w:r>
      <w:r w:rsidR="00405C32">
        <w:rPr>
          <w:sz w:val="20"/>
          <w:szCs w:val="20"/>
        </w:rPr>
        <w:t xml:space="preserve"> then drag out words to add</w:t>
      </w:r>
      <w:r w:rsidR="00BA0D2B">
        <w:rPr>
          <w:sz w:val="20"/>
          <w:szCs w:val="20"/>
        </w:rPr>
        <w:t xml:space="preserve"> </w:t>
      </w:r>
      <w:r w:rsidR="00C91522">
        <w:rPr>
          <w:sz w:val="20"/>
          <w:szCs w:val="20"/>
        </w:rPr>
        <w:t>an element of surprise and randomness</w:t>
      </w:r>
      <w:r w:rsidR="00405C32">
        <w:rPr>
          <w:sz w:val="20"/>
          <w:szCs w:val="20"/>
        </w:rPr>
        <w:t xml:space="preserve"> to group assignments</w:t>
      </w:r>
      <w:r w:rsidR="00C91522">
        <w:rPr>
          <w:sz w:val="20"/>
          <w:szCs w:val="20"/>
        </w:rPr>
        <w:t>. Try incorporating</w:t>
      </w:r>
      <w:r w:rsidR="001D4218">
        <w:rPr>
          <w:sz w:val="20"/>
          <w:szCs w:val="20"/>
        </w:rPr>
        <w:t xml:space="preserve"> this feature into </w:t>
      </w:r>
      <w:r w:rsidR="00C91522">
        <w:rPr>
          <w:sz w:val="20"/>
          <w:szCs w:val="20"/>
        </w:rPr>
        <w:t xml:space="preserve">activities where each </w:t>
      </w:r>
      <w:r w:rsidR="001D4218">
        <w:rPr>
          <w:sz w:val="20"/>
          <w:szCs w:val="20"/>
        </w:rPr>
        <w:t xml:space="preserve">student </w:t>
      </w:r>
      <w:r w:rsidR="00C91522">
        <w:rPr>
          <w:sz w:val="20"/>
          <w:szCs w:val="20"/>
        </w:rPr>
        <w:t>group is assigned to explore a datab</w:t>
      </w:r>
      <w:r>
        <w:rPr>
          <w:sz w:val="20"/>
          <w:szCs w:val="20"/>
        </w:rPr>
        <w:t xml:space="preserve">ase on their own and report out—rather than </w:t>
      </w:r>
      <w:r w:rsidR="009B0199">
        <w:rPr>
          <w:sz w:val="20"/>
          <w:szCs w:val="20"/>
        </w:rPr>
        <w:t>the librarian</w:t>
      </w:r>
      <w:r w:rsidR="00405C32">
        <w:rPr>
          <w:sz w:val="20"/>
          <w:szCs w:val="20"/>
        </w:rPr>
        <w:t xml:space="preserve"> </w:t>
      </w:r>
      <w:r>
        <w:rPr>
          <w:sz w:val="20"/>
          <w:szCs w:val="20"/>
        </w:rPr>
        <w:t>assigning</w:t>
      </w:r>
      <w:r w:rsidR="00405C32">
        <w:rPr>
          <w:sz w:val="20"/>
          <w:szCs w:val="20"/>
        </w:rPr>
        <w:t xml:space="preserve"> the resource</w:t>
      </w:r>
      <w:r>
        <w:rPr>
          <w:sz w:val="20"/>
          <w:szCs w:val="20"/>
        </w:rPr>
        <w:t xml:space="preserve">, students </w:t>
      </w:r>
      <w:r w:rsidR="00405C32">
        <w:rPr>
          <w:sz w:val="20"/>
          <w:szCs w:val="20"/>
        </w:rPr>
        <w:t>can drag out the</w:t>
      </w:r>
      <w:r>
        <w:rPr>
          <w:sz w:val="20"/>
          <w:szCs w:val="20"/>
        </w:rPr>
        <w:t xml:space="preserve"> database</w:t>
      </w:r>
      <w:r w:rsidR="00405C32">
        <w:rPr>
          <w:sz w:val="20"/>
          <w:szCs w:val="20"/>
        </w:rPr>
        <w:t xml:space="preserve"> they are responsible for exploring</w:t>
      </w:r>
      <w:r>
        <w:rPr>
          <w:sz w:val="20"/>
          <w:szCs w:val="20"/>
        </w:rPr>
        <w:t>.</w:t>
      </w:r>
    </w:p>
    <w:p w:rsidR="00BA0D2B" w:rsidRDefault="005D7C8D" w:rsidP="00A54159">
      <w:pPr>
        <w:pStyle w:val="Default"/>
        <w:numPr>
          <w:ilvl w:val="0"/>
          <w:numId w:val="10"/>
        </w:numPr>
        <w:spacing w:after="200"/>
        <w:rPr>
          <w:sz w:val="20"/>
          <w:szCs w:val="20"/>
        </w:rPr>
      </w:pPr>
      <w:r>
        <w:rPr>
          <w:sz w:val="20"/>
          <w:szCs w:val="20"/>
        </w:rPr>
        <w:t>C</w:t>
      </w:r>
      <w:r w:rsidR="003836DB">
        <w:rPr>
          <w:sz w:val="20"/>
          <w:szCs w:val="20"/>
        </w:rPr>
        <w:t>reate multiple text boxes scattered randomly</w:t>
      </w:r>
      <w:r>
        <w:rPr>
          <w:sz w:val="20"/>
          <w:szCs w:val="20"/>
        </w:rPr>
        <w:t xml:space="preserve"> across the screen</w:t>
      </w:r>
      <w:r w:rsidR="00405C32">
        <w:rPr>
          <w:sz w:val="20"/>
          <w:szCs w:val="20"/>
        </w:rPr>
        <w:t xml:space="preserve"> with bold category headings at the top</w:t>
      </w:r>
      <w:r w:rsidR="00240000">
        <w:rPr>
          <w:sz w:val="20"/>
          <w:szCs w:val="20"/>
        </w:rPr>
        <w:t>—students can</w:t>
      </w:r>
      <w:r>
        <w:rPr>
          <w:sz w:val="20"/>
          <w:szCs w:val="20"/>
        </w:rPr>
        <w:t xml:space="preserve"> then drag a given piece of text into a category it belongs to. Try using this to engage students with determining the differ</w:t>
      </w:r>
      <w:r w:rsidR="00405C32">
        <w:rPr>
          <w:sz w:val="20"/>
          <w:szCs w:val="20"/>
        </w:rPr>
        <w:t>ence</w:t>
      </w:r>
      <w:r>
        <w:rPr>
          <w:sz w:val="20"/>
          <w:szCs w:val="20"/>
        </w:rPr>
        <w:t xml:space="preserve"> between primary and secondary sources. </w:t>
      </w:r>
      <w:r w:rsidR="00C91522" w:rsidRPr="005D7C8D">
        <w:rPr>
          <w:sz w:val="20"/>
          <w:szCs w:val="20"/>
        </w:rPr>
        <w:t xml:space="preserve"> </w:t>
      </w:r>
      <w:r w:rsidR="00405C32">
        <w:rPr>
          <w:sz w:val="20"/>
          <w:szCs w:val="20"/>
        </w:rPr>
        <w:t xml:space="preserve">A variety of descriptions of either type of source can be randomly spread across the screen with students responsible for figuring out whether a given description belongs in the secondary or primary category and dragging it to that area. </w:t>
      </w:r>
      <w:r w:rsidR="001D4218">
        <w:rPr>
          <w:sz w:val="20"/>
          <w:szCs w:val="20"/>
        </w:rPr>
        <w:t xml:space="preserve">If you lock the category headings in place (usually by right clicking), students will not be able to accidentally move those. </w:t>
      </w:r>
    </w:p>
    <w:p w:rsidR="001D4218" w:rsidRDefault="00405C32" w:rsidP="00A54159">
      <w:pPr>
        <w:pStyle w:val="Default"/>
        <w:numPr>
          <w:ilvl w:val="0"/>
          <w:numId w:val="10"/>
        </w:numPr>
        <w:spacing w:after="200"/>
        <w:rPr>
          <w:sz w:val="20"/>
          <w:szCs w:val="20"/>
        </w:rPr>
      </w:pPr>
      <w:r>
        <w:rPr>
          <w:sz w:val="20"/>
          <w:szCs w:val="20"/>
        </w:rPr>
        <w:t xml:space="preserve">Create a sentence with blanks and a bank of text boxes that students can drag into the appropriate blank. Try using this to teach Boolean operators by creating blank search boxes connected with AND, OR with a bank of keywords and synonyms that students would place in the </w:t>
      </w:r>
      <w:r w:rsidR="003836DB">
        <w:rPr>
          <w:sz w:val="20"/>
          <w:szCs w:val="20"/>
        </w:rPr>
        <w:t xml:space="preserve">appropriate </w:t>
      </w:r>
      <w:r>
        <w:rPr>
          <w:sz w:val="20"/>
          <w:szCs w:val="20"/>
        </w:rPr>
        <w:t xml:space="preserve">search boxes. </w:t>
      </w:r>
      <w:r w:rsidRPr="00405C32">
        <w:rPr>
          <w:sz w:val="20"/>
          <w:szCs w:val="20"/>
        </w:rPr>
        <w:t xml:space="preserve">  </w:t>
      </w:r>
    </w:p>
    <w:p w:rsidR="00BA0D2B" w:rsidRPr="001D4218" w:rsidRDefault="00F048B4" w:rsidP="00A54159">
      <w:pPr>
        <w:pStyle w:val="Default"/>
        <w:numPr>
          <w:ilvl w:val="0"/>
          <w:numId w:val="10"/>
        </w:numPr>
        <w:spacing w:after="200"/>
        <w:rPr>
          <w:sz w:val="20"/>
          <w:szCs w:val="20"/>
        </w:rPr>
      </w:pPr>
      <w:r w:rsidRPr="001D4218">
        <w:rPr>
          <w:sz w:val="20"/>
          <w:szCs w:val="20"/>
        </w:rPr>
        <w:t>Create layered text and objects—students could drag words to a matching box, with correct words layere</w:t>
      </w:r>
      <w:r w:rsidR="003836DB">
        <w:rPr>
          <w:sz w:val="20"/>
          <w:szCs w:val="20"/>
        </w:rPr>
        <w:t>d over the box layer so they remain</w:t>
      </w:r>
      <w:r w:rsidRPr="001D4218">
        <w:rPr>
          <w:sz w:val="20"/>
          <w:szCs w:val="20"/>
        </w:rPr>
        <w:t xml:space="preserve"> visible and incorrect words layered behind the box so they disappear. Try using this to help students learn to distinguish various forms that plagiarism can t</w:t>
      </w:r>
      <w:r w:rsidR="003836DB">
        <w:rPr>
          <w:sz w:val="20"/>
          <w:szCs w:val="20"/>
        </w:rPr>
        <w:t xml:space="preserve">ake. </w:t>
      </w:r>
    </w:p>
    <w:p w:rsidR="00CC26CE" w:rsidRDefault="00CC26CE" w:rsidP="00A54159">
      <w:pPr>
        <w:pStyle w:val="Default"/>
        <w:spacing w:after="200"/>
        <w:rPr>
          <w:sz w:val="20"/>
          <w:szCs w:val="20"/>
        </w:rPr>
      </w:pPr>
      <w:r>
        <w:rPr>
          <w:b/>
          <w:sz w:val="20"/>
          <w:szCs w:val="20"/>
        </w:rPr>
        <w:t>Theatrical T</w:t>
      </w:r>
      <w:r w:rsidRPr="00CC26CE">
        <w:rPr>
          <w:b/>
          <w:sz w:val="20"/>
          <w:szCs w:val="20"/>
        </w:rPr>
        <w:t>ension</w:t>
      </w:r>
    </w:p>
    <w:p w:rsidR="00CC26CE" w:rsidRDefault="00CC26CE" w:rsidP="00A54159">
      <w:pPr>
        <w:spacing w:line="240" w:lineRule="auto"/>
      </w:pPr>
      <w:r>
        <w:t xml:space="preserve"> </w:t>
      </w:r>
      <w:r w:rsidR="00A54159">
        <w:tab/>
      </w:r>
      <w:r w:rsidR="003836DB">
        <w:t>Having each student</w:t>
      </w:r>
      <w:r w:rsidR="00D32125">
        <w:t xml:space="preserve"> in the classroom</w:t>
      </w:r>
      <w:r w:rsidR="003836DB">
        <w:t xml:space="preserve"> interact with t</w:t>
      </w:r>
      <w:r w:rsidR="00D32125">
        <w:t>he IWB is tricky</w:t>
      </w:r>
      <w:r w:rsidR="003836DB">
        <w:t>—it can be time-consum</w:t>
      </w:r>
      <w:r w:rsidR="00EF0DD9">
        <w:t>ing and there may be a</w:t>
      </w:r>
      <w:r w:rsidR="0029749E">
        <w:t xml:space="preserve"> couple of</w:t>
      </w:r>
      <w:r w:rsidR="003836DB">
        <w:t xml:space="preserve"> students </w:t>
      </w:r>
      <w:r w:rsidR="00EF0DD9">
        <w:t>who</w:t>
      </w:r>
      <w:r w:rsidR="003836DB">
        <w:t xml:space="preserve"> hesitate t</w:t>
      </w:r>
      <w:r w:rsidR="00D32125">
        <w:t>o engage in front of their peers</w:t>
      </w:r>
      <w:r w:rsidR="003836DB">
        <w:t>. However, by using an IWB in conjunction with group activities and competitions, you can engage the classroom through what is referred to as “theatrical tension”</w:t>
      </w:r>
      <w:r w:rsidR="00906B18">
        <w:t xml:space="preserve">— a </w:t>
      </w:r>
      <w:r w:rsidR="00162C86">
        <w:t xml:space="preserve">shared </w:t>
      </w:r>
      <w:r w:rsidR="00906B18">
        <w:t>sense of suspense</w:t>
      </w:r>
      <w:r w:rsidR="00162C86">
        <w:t xml:space="preserve"> and curiosity</w:t>
      </w:r>
      <w:r w:rsidR="003836DB">
        <w:t xml:space="preserve">. </w:t>
      </w:r>
      <w:r w:rsidR="00D32125">
        <w:t>Try dividing the class into groups, with each group des</w:t>
      </w:r>
      <w:r w:rsidR="0029749E">
        <w:t xml:space="preserve">ignating their own spokesperson. Then, when facilitating an activity involving the IWB, each group discusses their decision amongst themselves with their spokesperson coming up to the screen to drag, write, or interact in the way the group had decided upon. </w:t>
      </w:r>
      <w:r w:rsidR="00240000">
        <w:t>Boost</w:t>
      </w:r>
      <w:r w:rsidR="00162C86">
        <w:t xml:space="preserve"> engagement </w:t>
      </w:r>
      <w:r w:rsidR="00EF0DD9">
        <w:t>by assigning points (</w:t>
      </w:r>
      <w:r w:rsidR="00162C86">
        <w:t xml:space="preserve">for instance, </w:t>
      </w:r>
      <w:r w:rsidR="00EF0DD9">
        <w:t>layer</w:t>
      </w:r>
      <w:r w:rsidR="00162C86">
        <w:t>ing</w:t>
      </w:r>
      <w:r w:rsidR="00EF0DD9">
        <w:t xml:space="preserve"> numbers behind moveable text/objects) to create a more competitive and suspenseful environment— holdi</w:t>
      </w:r>
      <w:r w:rsidR="00906B18">
        <w:t>ng the interest of students</w:t>
      </w:r>
      <w:r w:rsidR="00240000">
        <w:t xml:space="preserve"> not immediately interacting</w:t>
      </w:r>
      <w:r w:rsidR="00EF0DD9">
        <w:t xml:space="preserve"> with the IWB.</w:t>
      </w:r>
    </w:p>
    <w:p w:rsidR="009F6701" w:rsidRDefault="00CC26CE" w:rsidP="00A54159">
      <w:pPr>
        <w:autoSpaceDE w:val="0"/>
        <w:autoSpaceDN w:val="0"/>
        <w:adjustRightInd w:val="0"/>
        <w:rPr>
          <w:b/>
        </w:rPr>
      </w:pPr>
      <w:r>
        <w:rPr>
          <w:b/>
        </w:rPr>
        <w:t>Tools</w:t>
      </w:r>
      <w:r w:rsidR="00162C86">
        <w:rPr>
          <w:b/>
        </w:rPr>
        <w:t xml:space="preserve"> &amp; Multimedia</w:t>
      </w:r>
    </w:p>
    <w:p w:rsidR="00C91522" w:rsidRPr="000A7A5F" w:rsidRDefault="00162C86" w:rsidP="00A54159">
      <w:pPr>
        <w:spacing w:line="240" w:lineRule="auto"/>
      </w:pPr>
      <w:r>
        <w:tab/>
        <w:t xml:space="preserve">Aside from creating </w:t>
      </w:r>
      <w:r w:rsidR="004451A2">
        <w:t>slides filled with drag-able content, most IWB software includes interactive add-ons. Search through the</w:t>
      </w:r>
      <w:r w:rsidR="004F4A0F">
        <w:t xml:space="preserve"> software folders to find objects</w:t>
      </w:r>
      <w:r w:rsidR="004451A2">
        <w:t xml:space="preserve"> such as dice that can be rolled with the touch of a fing</w:t>
      </w:r>
      <w:r w:rsidR="004F4A0F">
        <w:t xml:space="preserve">er, stopwatches and timers, coins that can be flipped, game board spinners and more.  </w:t>
      </w:r>
      <w:r w:rsidR="00974678">
        <w:t>Most of these items can be customized so that a dice could have th</w:t>
      </w:r>
      <w:r w:rsidR="00E2059A">
        <w:t>e names of various databases</w:t>
      </w:r>
      <w:r w:rsidR="000A7A5F">
        <w:t>, search techniques, or anything you would want randomized for instruction</w:t>
      </w:r>
      <w:r w:rsidR="00240000">
        <w:t>.  Some IWBs</w:t>
      </w:r>
      <w:r w:rsidR="00E2059A">
        <w:t xml:space="preserve"> have Jeopardy templates and other customizable games included for easy and entertaining informal assessments. </w:t>
      </w:r>
    </w:p>
    <w:p w:rsidR="00C91522" w:rsidRDefault="00C91522" w:rsidP="00A54159">
      <w:pPr>
        <w:autoSpaceDE w:val="0"/>
        <w:autoSpaceDN w:val="0"/>
        <w:adjustRightInd w:val="0"/>
        <w:rPr>
          <w:b/>
        </w:rPr>
      </w:pPr>
      <w:r>
        <w:rPr>
          <w:b/>
        </w:rPr>
        <w:t>Brainstorming 2.0</w:t>
      </w:r>
    </w:p>
    <w:p w:rsidR="00C91522" w:rsidRDefault="00C155C4" w:rsidP="00A54159">
      <w:pPr>
        <w:autoSpaceDE w:val="0"/>
        <w:autoSpaceDN w:val="0"/>
        <w:adjustRightInd w:val="0"/>
        <w:spacing w:line="240" w:lineRule="auto"/>
        <w:ind w:firstLine="720"/>
      </w:pPr>
      <w:r>
        <w:t xml:space="preserve">A common teaching </w:t>
      </w:r>
      <w:r w:rsidR="0010634F">
        <w:t>technique (often</w:t>
      </w:r>
      <w:r>
        <w:t xml:space="preserve"> at the beginning of a class)</w:t>
      </w:r>
      <w:r w:rsidR="000A7A5F">
        <w:t xml:space="preserve"> is to have students brainstorm ideas for a given prompt with the teacher jotting the ideas</w:t>
      </w:r>
      <w:r w:rsidR="0010634F">
        <w:t xml:space="preserve"> called out</w:t>
      </w:r>
      <w:r w:rsidR="000A7A5F">
        <w:t xml:space="preserve"> </w:t>
      </w:r>
      <w:r>
        <w:t>on a whiteboard;</w:t>
      </w:r>
      <w:r w:rsidR="000A7A5F">
        <w:t xml:space="preserve"> </w:t>
      </w:r>
      <w:r>
        <w:t>f</w:t>
      </w:r>
      <w:r w:rsidR="009B0199">
        <w:t xml:space="preserve">or instance, a librarian </w:t>
      </w:r>
      <w:r>
        <w:t xml:space="preserve">asking students how they would define “research”. </w:t>
      </w:r>
      <w:r w:rsidR="000A7A5F">
        <w:t xml:space="preserve">Take this activity to the next level </w:t>
      </w:r>
      <w:r w:rsidR="0010634F">
        <w:t>by utilizing the IWB,</w:t>
      </w:r>
      <w:r w:rsidR="000A7A5F">
        <w:t xml:space="preserve"> writing ideas down</w:t>
      </w:r>
      <w:r>
        <w:t xml:space="preserve"> with the stylus</w:t>
      </w:r>
      <w:r w:rsidR="0010634F">
        <w:t xml:space="preserve"> and </w:t>
      </w:r>
      <w:r w:rsidR="000A7A5F">
        <w:t>taking advantage of the variety of colors available to help categorize and organize stud</w:t>
      </w:r>
      <w:r>
        <w:t xml:space="preserve">ent ideas. When the ideas have been collected, capture the output using a screen capture tool—preserving student ideas to email back to them after the class is over. </w:t>
      </w:r>
    </w:p>
    <w:p w:rsidR="00974678" w:rsidRDefault="00974678" w:rsidP="00A54159">
      <w:pPr>
        <w:autoSpaceDE w:val="0"/>
        <w:autoSpaceDN w:val="0"/>
        <w:adjustRightInd w:val="0"/>
        <w:rPr>
          <w:b/>
        </w:rPr>
      </w:pPr>
      <w:r w:rsidRPr="00974678">
        <w:rPr>
          <w:b/>
        </w:rPr>
        <w:t>Word Processor Integration</w:t>
      </w:r>
    </w:p>
    <w:p w:rsidR="00974678" w:rsidRPr="005B124B" w:rsidRDefault="0010634F" w:rsidP="005B124B">
      <w:pPr>
        <w:autoSpaceDE w:val="0"/>
        <w:autoSpaceDN w:val="0"/>
        <w:adjustRightInd w:val="0"/>
        <w:spacing w:line="240" w:lineRule="auto"/>
      </w:pPr>
      <w:r>
        <w:rPr>
          <w:b/>
        </w:rPr>
        <w:tab/>
      </w:r>
      <w:r>
        <w:t>Most IWBs are compa</w:t>
      </w:r>
      <w:r w:rsidR="001C67C2">
        <w:t>tible with word processors like Microsoft Word</w:t>
      </w:r>
      <w:r w:rsidR="00A54159">
        <w:t xml:space="preserve"> </w:t>
      </w:r>
      <w:r w:rsidR="001C67C2">
        <w:t>and allow users to highlight</w:t>
      </w:r>
      <w:r w:rsidR="00CD45A6">
        <w:t>,</w:t>
      </w:r>
      <w:r w:rsidR="001C67C2">
        <w:t xml:space="preserve"> underline </w:t>
      </w:r>
      <w:r w:rsidR="00CD45A6">
        <w:t xml:space="preserve">and annotate </w:t>
      </w:r>
      <w:r w:rsidR="001C67C2">
        <w:t>the text in a document</w:t>
      </w:r>
      <w:r w:rsidR="00F51929">
        <w:t xml:space="preserve"> on the IWB screen</w:t>
      </w:r>
      <w:r w:rsidR="001C67C2">
        <w:t xml:space="preserve">. Depending on brand, users may also be able to type text directly into the document by using a large on-screen keyboard.  This functionality provides engaging possibilities for lessons discussing </w:t>
      </w:r>
      <w:r w:rsidR="001C67C2">
        <w:lastRenderedPageBreak/>
        <w:t xml:space="preserve">plagiarism in a given piece of text or working on how to effectively integrate sources into a research paper. </w:t>
      </w:r>
      <w:r w:rsidR="00A54159">
        <w:t xml:space="preserve"> Remember to keep the text fairly short and zoom in on the document or pass out print copies so students will not have difficulty seeing. </w:t>
      </w:r>
    </w:p>
    <w:p w:rsidR="00230DAE" w:rsidRPr="00283620" w:rsidRDefault="006A5E72" w:rsidP="00A54159">
      <w:pPr>
        <w:pStyle w:val="Pa3"/>
        <w:spacing w:after="200" w:line="276" w:lineRule="auto"/>
        <w:rPr>
          <w:rFonts w:ascii="Times New Roman Bold" w:hAnsi="Times New Roman Bold"/>
          <w:b/>
          <w:color w:val="000000"/>
        </w:rPr>
      </w:pPr>
      <w:r w:rsidRPr="00283620">
        <w:rPr>
          <w:rFonts w:ascii="Times New Roman Bold" w:hAnsi="Times New Roman Bold"/>
          <w:b/>
          <w:color w:val="000000"/>
        </w:rPr>
        <w:t>POTENTIAL PROBLEMS</w:t>
      </w:r>
    </w:p>
    <w:p w:rsidR="00864A02" w:rsidRDefault="00864A02" w:rsidP="00A54159">
      <w:pPr>
        <w:pStyle w:val="Default"/>
        <w:spacing w:after="200"/>
        <w:rPr>
          <w:b/>
          <w:sz w:val="20"/>
          <w:szCs w:val="20"/>
        </w:rPr>
      </w:pPr>
      <w:r>
        <w:rPr>
          <w:b/>
          <w:sz w:val="20"/>
          <w:szCs w:val="20"/>
        </w:rPr>
        <w:t>Not Practicing</w:t>
      </w:r>
    </w:p>
    <w:p w:rsidR="00864A02" w:rsidRDefault="00864A02" w:rsidP="00864A02">
      <w:pPr>
        <w:pStyle w:val="Default"/>
        <w:ind w:firstLine="720"/>
        <w:rPr>
          <w:sz w:val="20"/>
          <w:szCs w:val="20"/>
        </w:rPr>
      </w:pPr>
      <w:r>
        <w:rPr>
          <w:sz w:val="20"/>
          <w:szCs w:val="20"/>
        </w:rPr>
        <w:t xml:space="preserve">It cannot be emphasized enough that without proper preparation and training, an IWB can quickly become nothing more than an expensive blackboard.  In order to effectively engage students, a librarian must devote time to learning how to use the IWB and how its interactivity can be effectively incorporated into a lesson. Students are quick to notice a teacher’s lack of confidence or ability using technology, making proper preparation and practice essential (Glover et al., 2005). </w:t>
      </w:r>
    </w:p>
    <w:p w:rsidR="00864A02" w:rsidRPr="00864A02" w:rsidRDefault="00864A02" w:rsidP="00864A02">
      <w:pPr>
        <w:pStyle w:val="Default"/>
        <w:rPr>
          <w:sz w:val="20"/>
          <w:szCs w:val="20"/>
        </w:rPr>
      </w:pPr>
    </w:p>
    <w:p w:rsidR="006A5E72" w:rsidRPr="006A5E72" w:rsidRDefault="00A54159" w:rsidP="00A54159">
      <w:pPr>
        <w:pStyle w:val="Default"/>
        <w:spacing w:after="200"/>
        <w:rPr>
          <w:b/>
          <w:sz w:val="20"/>
          <w:szCs w:val="20"/>
        </w:rPr>
      </w:pPr>
      <w:r>
        <w:rPr>
          <w:b/>
          <w:sz w:val="20"/>
          <w:szCs w:val="20"/>
        </w:rPr>
        <w:t>Not Re</w:t>
      </w:r>
      <w:r w:rsidR="006A5E72">
        <w:rPr>
          <w:b/>
          <w:sz w:val="20"/>
          <w:szCs w:val="20"/>
        </w:rPr>
        <w:t>thinking</w:t>
      </w:r>
    </w:p>
    <w:p w:rsidR="008E19F6" w:rsidRPr="00CC26CE" w:rsidRDefault="00230DAE" w:rsidP="00A54159">
      <w:pPr>
        <w:spacing w:line="240" w:lineRule="auto"/>
        <w:ind w:firstLine="720"/>
      </w:pPr>
      <w:r>
        <w:t>IWBs have been shown to increase student engagement and motivation, but only when used interactively in a student-centered environment. One of the biggest problems teachers have with IWBs is that they fail to rethink their approach and this tool ends up actually reinforcing tradi</w:t>
      </w:r>
      <w:r w:rsidR="00240000">
        <w:t>tional teacher-centered direct instruction</w:t>
      </w:r>
      <w:r>
        <w:t>. Many teachers have a tendency to dominate the lesson, using t</w:t>
      </w:r>
      <w:r w:rsidR="00DC175A">
        <w:t xml:space="preserve">he IWB themselves and not involving students in this </w:t>
      </w:r>
      <w:r>
        <w:t>interact</w:t>
      </w:r>
      <w:r w:rsidR="00DC175A">
        <w:t>ivity with</w:t>
      </w:r>
      <w:r w:rsidR="00780EE6">
        <w:t xml:space="preserve"> technology (</w:t>
      </w:r>
      <w:r>
        <w:t>Kearney</w:t>
      </w:r>
      <w:r w:rsidR="00780EE6">
        <w:t xml:space="preserve"> &amp; </w:t>
      </w:r>
      <w:proofErr w:type="spellStart"/>
      <w:r w:rsidR="00780EE6">
        <w:t>Schuck</w:t>
      </w:r>
      <w:proofErr w:type="spellEnd"/>
      <w:r w:rsidR="00780EE6">
        <w:t>, 2008</w:t>
      </w:r>
      <w:r>
        <w:t xml:space="preserve">). </w:t>
      </w:r>
      <w:r w:rsidR="00142F5F">
        <w:t xml:space="preserve"> Avoid this problem by rethinking your pedagogical approach, perhaps moving beyond your instructional comfort zone, in order to create an interactive lesson involving</w:t>
      </w:r>
      <w:r w:rsidR="006A5E72">
        <w:t xml:space="preserve"> students</w:t>
      </w:r>
      <w:r w:rsidR="00142F5F">
        <w:t xml:space="preserve">. </w:t>
      </w:r>
      <w:r w:rsidR="002A7F63">
        <w:t>Be flexible in your lesson outline, allowing time for students to “play” with concepts</w:t>
      </w:r>
      <w:r w:rsidR="00A54159">
        <w:t xml:space="preserve"> that interest them. The advantage of</w:t>
      </w:r>
      <w:r w:rsidR="002A7F63">
        <w:t xml:space="preserve"> IWB interactivity is the ability of the class to go on quick explorations and tangents, clicking right on the board to easily explore different websites, images, and multi-media.</w:t>
      </w:r>
    </w:p>
    <w:p w:rsidR="008E19F6" w:rsidRDefault="006A5E72" w:rsidP="00A54159">
      <w:pPr>
        <w:pStyle w:val="Default"/>
        <w:spacing w:after="200"/>
        <w:rPr>
          <w:b/>
          <w:sz w:val="20"/>
          <w:szCs w:val="20"/>
        </w:rPr>
      </w:pPr>
      <w:r>
        <w:rPr>
          <w:b/>
          <w:sz w:val="20"/>
          <w:szCs w:val="20"/>
        </w:rPr>
        <w:t>Not Saving</w:t>
      </w:r>
    </w:p>
    <w:p w:rsidR="00936D81" w:rsidRDefault="00A54159" w:rsidP="00A54159">
      <w:pPr>
        <w:pStyle w:val="Default"/>
        <w:spacing w:after="200"/>
        <w:rPr>
          <w:sz w:val="20"/>
          <w:szCs w:val="20"/>
        </w:rPr>
      </w:pPr>
      <w:r>
        <w:rPr>
          <w:b/>
          <w:sz w:val="20"/>
          <w:szCs w:val="20"/>
        </w:rPr>
        <w:tab/>
      </w:r>
      <w:r w:rsidR="00936D81">
        <w:rPr>
          <w:sz w:val="20"/>
          <w:szCs w:val="20"/>
        </w:rPr>
        <w:t xml:space="preserve">Failing to take advantage of the ability to save would mean missing out on an important benefit of IWBs. </w:t>
      </w:r>
      <w:r w:rsidR="00A812D7">
        <w:rPr>
          <w:sz w:val="20"/>
          <w:szCs w:val="20"/>
        </w:rPr>
        <w:t xml:space="preserve">Locate the </w:t>
      </w:r>
      <w:r w:rsidR="00CD45A6">
        <w:rPr>
          <w:sz w:val="20"/>
          <w:szCs w:val="20"/>
        </w:rPr>
        <w:t xml:space="preserve">save, </w:t>
      </w:r>
      <w:r w:rsidR="00A812D7">
        <w:rPr>
          <w:sz w:val="20"/>
          <w:szCs w:val="20"/>
        </w:rPr>
        <w:t>screen-shot</w:t>
      </w:r>
      <w:r w:rsidR="00CD45A6">
        <w:rPr>
          <w:sz w:val="20"/>
          <w:szCs w:val="20"/>
        </w:rPr>
        <w:t>, and record</w:t>
      </w:r>
      <w:r w:rsidR="00A812D7">
        <w:rPr>
          <w:sz w:val="20"/>
          <w:szCs w:val="20"/>
        </w:rPr>
        <w:t xml:space="preserve"> features on your IWB before teaching.</w:t>
      </w:r>
      <w:r w:rsidR="00936D81">
        <w:rPr>
          <w:sz w:val="20"/>
          <w:szCs w:val="20"/>
        </w:rPr>
        <w:t xml:space="preserve"> Save</w:t>
      </w:r>
      <w:r w:rsidR="00CD45A6">
        <w:rPr>
          <w:sz w:val="20"/>
          <w:szCs w:val="20"/>
        </w:rPr>
        <w:t xml:space="preserve"> ideas and notes </w:t>
      </w:r>
      <w:r w:rsidR="00936D81">
        <w:rPr>
          <w:sz w:val="20"/>
          <w:szCs w:val="20"/>
        </w:rPr>
        <w:t>during a lesson—</w:t>
      </w:r>
      <w:r w:rsidR="00CD45A6">
        <w:rPr>
          <w:sz w:val="20"/>
          <w:szCs w:val="20"/>
        </w:rPr>
        <w:t>there is no need to constantly erase as you would with a basic whiteboard</w:t>
      </w:r>
      <w:r w:rsidR="00936D81">
        <w:rPr>
          <w:sz w:val="20"/>
          <w:szCs w:val="20"/>
        </w:rPr>
        <w:t xml:space="preserve">, </w:t>
      </w:r>
      <w:r w:rsidR="00CD45A6">
        <w:rPr>
          <w:sz w:val="20"/>
          <w:szCs w:val="20"/>
        </w:rPr>
        <w:t>simply add more slides for more content</w:t>
      </w:r>
      <w:r w:rsidR="00240000">
        <w:rPr>
          <w:sz w:val="20"/>
          <w:szCs w:val="20"/>
        </w:rPr>
        <w:t xml:space="preserve"> as you go</w:t>
      </w:r>
      <w:r w:rsidR="00CD45A6">
        <w:rPr>
          <w:sz w:val="20"/>
          <w:szCs w:val="20"/>
        </w:rPr>
        <w:t xml:space="preserve">. </w:t>
      </w:r>
      <w:r w:rsidR="00936D81">
        <w:rPr>
          <w:sz w:val="20"/>
          <w:szCs w:val="20"/>
        </w:rPr>
        <w:t xml:space="preserve">IWB </w:t>
      </w:r>
      <w:r w:rsidR="00A812D7">
        <w:rPr>
          <w:sz w:val="20"/>
          <w:szCs w:val="20"/>
        </w:rPr>
        <w:t xml:space="preserve">functionality </w:t>
      </w:r>
      <w:r w:rsidR="00CD45A6">
        <w:rPr>
          <w:sz w:val="20"/>
          <w:szCs w:val="20"/>
        </w:rPr>
        <w:t xml:space="preserve">also </w:t>
      </w:r>
      <w:r w:rsidR="00A812D7">
        <w:rPr>
          <w:sz w:val="20"/>
          <w:szCs w:val="20"/>
        </w:rPr>
        <w:t>allows you to record entire lessons as they happen (many brands include audio)</w:t>
      </w:r>
      <w:r w:rsidR="00936D81">
        <w:rPr>
          <w:sz w:val="20"/>
          <w:szCs w:val="20"/>
        </w:rPr>
        <w:t xml:space="preserve">. You could </w:t>
      </w:r>
      <w:r w:rsidR="00A812D7">
        <w:rPr>
          <w:sz w:val="20"/>
          <w:szCs w:val="20"/>
        </w:rPr>
        <w:t xml:space="preserve">then upload </w:t>
      </w:r>
      <w:r w:rsidR="00936D81">
        <w:rPr>
          <w:sz w:val="20"/>
          <w:szCs w:val="20"/>
        </w:rPr>
        <w:t>these recorded lessons</w:t>
      </w:r>
      <w:r w:rsidR="00E63637">
        <w:rPr>
          <w:sz w:val="20"/>
          <w:szCs w:val="20"/>
        </w:rPr>
        <w:t xml:space="preserve"> for</w:t>
      </w:r>
      <w:r w:rsidR="00A812D7">
        <w:rPr>
          <w:sz w:val="20"/>
          <w:szCs w:val="20"/>
        </w:rPr>
        <w:t xml:space="preserve"> students to refer </w:t>
      </w:r>
      <w:r w:rsidR="00E63637">
        <w:rPr>
          <w:sz w:val="20"/>
          <w:szCs w:val="20"/>
        </w:rPr>
        <w:t xml:space="preserve">back </w:t>
      </w:r>
      <w:r w:rsidR="00A812D7">
        <w:rPr>
          <w:sz w:val="20"/>
          <w:szCs w:val="20"/>
        </w:rPr>
        <w:t>to</w:t>
      </w:r>
      <w:r w:rsidR="00E63637">
        <w:rPr>
          <w:sz w:val="20"/>
          <w:szCs w:val="20"/>
        </w:rPr>
        <w:t xml:space="preserve"> as well as</w:t>
      </w:r>
      <w:r w:rsidR="001B1CA9">
        <w:rPr>
          <w:sz w:val="20"/>
          <w:szCs w:val="20"/>
        </w:rPr>
        <w:t xml:space="preserve"> for your own assessment</w:t>
      </w:r>
      <w:r w:rsidR="00E63637">
        <w:rPr>
          <w:sz w:val="20"/>
          <w:szCs w:val="20"/>
        </w:rPr>
        <w:t xml:space="preserve"> purposes</w:t>
      </w:r>
      <w:r w:rsidR="00A812D7">
        <w:rPr>
          <w:sz w:val="20"/>
          <w:szCs w:val="20"/>
        </w:rPr>
        <w:t>.</w:t>
      </w:r>
      <w:r w:rsidR="00CD45A6">
        <w:rPr>
          <w:sz w:val="20"/>
          <w:szCs w:val="20"/>
        </w:rPr>
        <w:t xml:space="preserve"> If you would like to create online tutorials, th</w:t>
      </w:r>
      <w:r w:rsidR="00240000">
        <w:rPr>
          <w:sz w:val="20"/>
          <w:szCs w:val="20"/>
        </w:rPr>
        <w:t>e recording feature may</w:t>
      </w:r>
      <w:r w:rsidR="00A812D7">
        <w:rPr>
          <w:sz w:val="20"/>
          <w:szCs w:val="20"/>
        </w:rPr>
        <w:t xml:space="preserve"> also be used in a pinch to replace</w:t>
      </w:r>
      <w:r w:rsidR="00CD45A6">
        <w:rPr>
          <w:sz w:val="20"/>
          <w:szCs w:val="20"/>
        </w:rPr>
        <w:t xml:space="preserve"> screen recording tools</w:t>
      </w:r>
      <w:r w:rsidR="001B1CA9">
        <w:rPr>
          <w:sz w:val="20"/>
          <w:szCs w:val="20"/>
        </w:rPr>
        <w:t xml:space="preserve"> such as </w:t>
      </w:r>
      <w:proofErr w:type="spellStart"/>
      <w:r w:rsidR="001B1CA9">
        <w:rPr>
          <w:sz w:val="20"/>
          <w:szCs w:val="20"/>
        </w:rPr>
        <w:t>Camtasia</w:t>
      </w:r>
      <w:proofErr w:type="spellEnd"/>
      <w:r w:rsidR="001B1CA9">
        <w:rPr>
          <w:sz w:val="20"/>
          <w:szCs w:val="20"/>
        </w:rPr>
        <w:t xml:space="preserve"> or </w:t>
      </w:r>
      <w:proofErr w:type="spellStart"/>
      <w:r w:rsidR="001B1CA9">
        <w:rPr>
          <w:sz w:val="20"/>
          <w:szCs w:val="20"/>
        </w:rPr>
        <w:t>Screenr</w:t>
      </w:r>
      <w:proofErr w:type="spellEnd"/>
      <w:r w:rsidR="00CD45A6">
        <w:rPr>
          <w:sz w:val="20"/>
          <w:szCs w:val="20"/>
        </w:rPr>
        <w:t xml:space="preserve">. </w:t>
      </w:r>
    </w:p>
    <w:p w:rsidR="002A7F63" w:rsidRDefault="006A5E72" w:rsidP="00A54159">
      <w:pPr>
        <w:pStyle w:val="Default"/>
        <w:spacing w:after="200"/>
        <w:rPr>
          <w:sz w:val="20"/>
          <w:szCs w:val="20"/>
        </w:rPr>
      </w:pPr>
      <w:r w:rsidRPr="006A5E72">
        <w:rPr>
          <w:b/>
          <w:sz w:val="20"/>
          <w:szCs w:val="20"/>
        </w:rPr>
        <w:t>Not Sharing</w:t>
      </w:r>
    </w:p>
    <w:p w:rsidR="00936D81" w:rsidRDefault="00CD45A6" w:rsidP="00936D81">
      <w:pPr>
        <w:pStyle w:val="Default"/>
        <w:spacing w:after="200"/>
        <w:rPr>
          <w:sz w:val="20"/>
          <w:szCs w:val="20"/>
        </w:rPr>
      </w:pPr>
      <w:r>
        <w:rPr>
          <w:sz w:val="20"/>
          <w:szCs w:val="20"/>
        </w:rPr>
        <w:tab/>
        <w:t xml:space="preserve">As previously mentioned, IWBs have been a part of K-12 education for some time and as a result there is a large collection of </w:t>
      </w:r>
      <w:r w:rsidR="00936D81">
        <w:rPr>
          <w:sz w:val="20"/>
          <w:szCs w:val="20"/>
        </w:rPr>
        <w:t>teacher-generated</w:t>
      </w:r>
      <w:r>
        <w:rPr>
          <w:sz w:val="20"/>
          <w:szCs w:val="20"/>
        </w:rPr>
        <w:t xml:space="preserve"> lesson plans available both online and through IWB software. While there are some options for school media specialists, there </w:t>
      </w:r>
      <w:r w:rsidR="00936D81">
        <w:rPr>
          <w:sz w:val="20"/>
          <w:szCs w:val="20"/>
        </w:rPr>
        <w:t>is very little available for</w:t>
      </w:r>
      <w:r>
        <w:rPr>
          <w:sz w:val="20"/>
          <w:szCs w:val="20"/>
        </w:rPr>
        <w:t xml:space="preserve"> academic librarians. As you develop lessons utilizing IWB features, be s</w:t>
      </w:r>
      <w:r w:rsidR="00936D81">
        <w:rPr>
          <w:sz w:val="20"/>
          <w:szCs w:val="20"/>
        </w:rPr>
        <w:t>ure to share these to help build a</w:t>
      </w:r>
      <w:r w:rsidR="00864A02">
        <w:rPr>
          <w:sz w:val="20"/>
          <w:szCs w:val="20"/>
        </w:rPr>
        <w:t xml:space="preserve"> collection of activities</w:t>
      </w:r>
      <w:r w:rsidR="00936D81">
        <w:rPr>
          <w:sz w:val="20"/>
          <w:szCs w:val="20"/>
        </w:rPr>
        <w:t xml:space="preserve"> specifically designed for librarians working to build information literacy skills at the post-secondary level. </w:t>
      </w:r>
    </w:p>
    <w:p w:rsidR="00936D81" w:rsidRPr="00936D81" w:rsidRDefault="00936D81" w:rsidP="00936D81">
      <w:pPr>
        <w:pStyle w:val="Default"/>
        <w:spacing w:after="200"/>
        <w:rPr>
          <w:sz w:val="20"/>
          <w:szCs w:val="20"/>
        </w:rPr>
      </w:pPr>
    </w:p>
    <w:p w:rsidR="007B2DED" w:rsidRPr="00254EEE" w:rsidRDefault="00C35815" w:rsidP="00F42797">
      <w:pPr>
        <w:autoSpaceDE w:val="0"/>
        <w:autoSpaceDN w:val="0"/>
        <w:adjustRightInd w:val="0"/>
        <w:rPr>
          <w:rFonts w:ascii="Times New Roman Bold" w:hAnsi="Times New Roman Bold"/>
          <w:b/>
          <w:bCs/>
          <w:smallCaps/>
          <w:sz w:val="24"/>
          <w:szCs w:val="24"/>
        </w:rPr>
      </w:pPr>
      <w:r w:rsidRPr="00BA0A59">
        <w:rPr>
          <w:rFonts w:ascii="Times New Roman Bold" w:hAnsi="Times New Roman Bold"/>
          <w:b/>
          <w:smallCaps/>
          <w:sz w:val="24"/>
          <w:szCs w:val="24"/>
        </w:rPr>
        <w:t>R</w:t>
      </w:r>
      <w:r w:rsidRPr="00BA0A59">
        <w:rPr>
          <w:rFonts w:ascii="Times New Roman Bold" w:hAnsi="Times New Roman Bold"/>
          <w:b/>
          <w:bCs/>
          <w:smallCaps/>
          <w:sz w:val="24"/>
          <w:szCs w:val="24"/>
        </w:rPr>
        <w:t>eferen</w:t>
      </w:r>
      <w:r w:rsidRPr="00BA0A59">
        <w:rPr>
          <w:rFonts w:ascii="Times New Roman Bold" w:hAnsi="Times New Roman Bold"/>
          <w:b/>
          <w:smallCaps/>
          <w:sz w:val="24"/>
          <w:szCs w:val="24"/>
        </w:rPr>
        <w:t>c</w:t>
      </w:r>
      <w:r w:rsidRPr="00BA0A59">
        <w:rPr>
          <w:rFonts w:ascii="Times New Roman Bold" w:hAnsi="Times New Roman Bold"/>
          <w:b/>
          <w:bCs/>
          <w:smallCaps/>
          <w:sz w:val="24"/>
          <w:szCs w:val="24"/>
        </w:rPr>
        <w:t>es</w:t>
      </w:r>
    </w:p>
    <w:p w:rsidR="006827A6" w:rsidRDefault="006827A6" w:rsidP="008E7A18">
      <w:pPr>
        <w:autoSpaceDE w:val="0"/>
        <w:autoSpaceDN w:val="0"/>
        <w:adjustRightInd w:val="0"/>
        <w:spacing w:after="0" w:line="240" w:lineRule="auto"/>
        <w:ind w:left="720" w:hanging="720"/>
      </w:pPr>
    </w:p>
    <w:p w:rsidR="006827A6" w:rsidRDefault="006827A6" w:rsidP="008E7A18">
      <w:pPr>
        <w:autoSpaceDE w:val="0"/>
        <w:autoSpaceDN w:val="0"/>
        <w:adjustRightInd w:val="0"/>
        <w:spacing w:after="0" w:line="240" w:lineRule="auto"/>
        <w:ind w:left="720" w:hanging="720"/>
      </w:pPr>
      <w:r>
        <w:t xml:space="preserve">Ball, B. (2003). </w:t>
      </w:r>
      <w:proofErr w:type="gramStart"/>
      <w:r>
        <w:t>Teaching and learning mathematics with an interactive whiteboard.</w:t>
      </w:r>
      <w:proofErr w:type="gramEnd"/>
      <w:r>
        <w:t xml:space="preserve"> </w:t>
      </w:r>
      <w:proofErr w:type="spellStart"/>
      <w:r w:rsidRPr="006827A6">
        <w:rPr>
          <w:i/>
        </w:rPr>
        <w:t>Micromath</w:t>
      </w:r>
      <w:proofErr w:type="spellEnd"/>
      <w:r w:rsidRPr="006827A6">
        <w:rPr>
          <w:i/>
        </w:rPr>
        <w:t>: A Journal of the Association of Teachers of Mathematics 19</w:t>
      </w:r>
      <w:r>
        <w:t xml:space="preserve">(1), 4. </w:t>
      </w:r>
    </w:p>
    <w:p w:rsidR="0012476D" w:rsidRDefault="0012476D" w:rsidP="008E7A18">
      <w:pPr>
        <w:autoSpaceDE w:val="0"/>
        <w:autoSpaceDN w:val="0"/>
        <w:adjustRightInd w:val="0"/>
        <w:spacing w:after="0" w:line="240" w:lineRule="auto"/>
        <w:ind w:left="720" w:hanging="720"/>
      </w:pPr>
    </w:p>
    <w:p w:rsidR="0012476D" w:rsidRDefault="0012476D" w:rsidP="008E7A18">
      <w:pPr>
        <w:autoSpaceDE w:val="0"/>
        <w:autoSpaceDN w:val="0"/>
        <w:adjustRightInd w:val="0"/>
        <w:spacing w:after="0" w:line="240" w:lineRule="auto"/>
        <w:ind w:left="720" w:hanging="720"/>
      </w:pPr>
      <w:proofErr w:type="spellStart"/>
      <w:proofErr w:type="gramStart"/>
      <w:r>
        <w:t>Betcher</w:t>
      </w:r>
      <w:proofErr w:type="spellEnd"/>
      <w:r>
        <w:t>, C., &amp; Lee, M. (2009).</w:t>
      </w:r>
      <w:proofErr w:type="gramEnd"/>
      <w:r>
        <w:t xml:space="preserve"> </w:t>
      </w:r>
      <w:r w:rsidR="00DB229E">
        <w:rPr>
          <w:i/>
          <w:iCs/>
        </w:rPr>
        <w:t>The interactive whiteboard r</w:t>
      </w:r>
      <w:r>
        <w:rPr>
          <w:i/>
          <w:iCs/>
        </w:rPr>
        <w:t>evolution: Teaching with IWBs</w:t>
      </w:r>
      <w:r>
        <w:t xml:space="preserve">. </w:t>
      </w:r>
      <w:proofErr w:type="spellStart"/>
      <w:r>
        <w:t>Camberwell</w:t>
      </w:r>
      <w:proofErr w:type="spellEnd"/>
      <w:r>
        <w:t>, Australia: ACER Press.</w:t>
      </w:r>
    </w:p>
    <w:p w:rsidR="00EF32D2" w:rsidRDefault="00EF32D2" w:rsidP="008E7A18">
      <w:pPr>
        <w:autoSpaceDE w:val="0"/>
        <w:autoSpaceDN w:val="0"/>
        <w:adjustRightInd w:val="0"/>
        <w:spacing w:after="0" w:line="240" w:lineRule="auto"/>
        <w:ind w:left="720" w:hanging="720"/>
      </w:pPr>
    </w:p>
    <w:p w:rsidR="0012476D" w:rsidRDefault="0012476D" w:rsidP="0012476D">
      <w:pPr>
        <w:autoSpaceDE w:val="0"/>
        <w:autoSpaceDN w:val="0"/>
        <w:adjustRightInd w:val="0"/>
        <w:spacing w:after="0" w:line="240" w:lineRule="auto"/>
        <w:ind w:left="720" w:hanging="720"/>
      </w:pPr>
      <w:r>
        <w:t xml:space="preserve">Glover, D., Miller, D., </w:t>
      </w:r>
      <w:proofErr w:type="spellStart"/>
      <w:r>
        <w:t>Averis</w:t>
      </w:r>
      <w:proofErr w:type="spellEnd"/>
      <w:r>
        <w:t xml:space="preserve">, D., &amp; Door, V. (2005).The interactive whiteboard: A literature survey. </w:t>
      </w:r>
      <w:r>
        <w:rPr>
          <w:i/>
        </w:rPr>
        <w:t>Technology</w:t>
      </w:r>
      <w:r w:rsidRPr="00EF32D2">
        <w:rPr>
          <w:i/>
        </w:rPr>
        <w:t>,</w:t>
      </w:r>
      <w:r>
        <w:rPr>
          <w:i/>
        </w:rPr>
        <w:t xml:space="preserve"> Pedagogy &amp; Education, 14</w:t>
      </w:r>
      <w:r>
        <w:t xml:space="preserve">(2), 155-170. </w:t>
      </w:r>
    </w:p>
    <w:p w:rsidR="0012476D" w:rsidRDefault="0012476D" w:rsidP="0012476D">
      <w:pPr>
        <w:autoSpaceDE w:val="0"/>
        <w:autoSpaceDN w:val="0"/>
        <w:adjustRightInd w:val="0"/>
        <w:spacing w:after="0" w:line="240" w:lineRule="auto"/>
      </w:pPr>
    </w:p>
    <w:p w:rsidR="00EF32D2" w:rsidRDefault="0056268D" w:rsidP="008E7A18">
      <w:pPr>
        <w:autoSpaceDE w:val="0"/>
        <w:autoSpaceDN w:val="0"/>
        <w:adjustRightInd w:val="0"/>
        <w:spacing w:after="0" w:line="240" w:lineRule="auto"/>
        <w:ind w:left="720" w:hanging="720"/>
      </w:pPr>
      <w:r>
        <w:t xml:space="preserve">Glover, D., Miller, D., </w:t>
      </w:r>
      <w:proofErr w:type="spellStart"/>
      <w:r>
        <w:t>Averis</w:t>
      </w:r>
      <w:proofErr w:type="spellEnd"/>
      <w:r>
        <w:t xml:space="preserve">, D., &amp; Door, V. </w:t>
      </w:r>
      <w:r w:rsidR="00EF32D2">
        <w:t xml:space="preserve"> (2007). </w:t>
      </w:r>
      <w:proofErr w:type="gramStart"/>
      <w:r w:rsidR="00EF32D2">
        <w:t>The</w:t>
      </w:r>
      <w:proofErr w:type="gramEnd"/>
      <w:r w:rsidR="00EF32D2">
        <w:t xml:space="preserve"> evolution of an effective pedagogy for teachers using the interactive whiteboard in mathematics and modern languages: An empirical analysis from the secondary sector. </w:t>
      </w:r>
      <w:r w:rsidR="00EF32D2" w:rsidRPr="00EF32D2">
        <w:rPr>
          <w:i/>
        </w:rPr>
        <w:t>Learning, Media, &amp; Technology, 32</w:t>
      </w:r>
      <w:r w:rsidR="00EF32D2">
        <w:t xml:space="preserve">(1), 5-20. </w:t>
      </w:r>
    </w:p>
    <w:p w:rsidR="0012476D" w:rsidRDefault="0012476D" w:rsidP="0012476D">
      <w:pPr>
        <w:autoSpaceDE w:val="0"/>
        <w:autoSpaceDN w:val="0"/>
        <w:adjustRightInd w:val="0"/>
        <w:spacing w:after="0" w:line="240" w:lineRule="auto"/>
      </w:pPr>
    </w:p>
    <w:p w:rsidR="00780EE6" w:rsidRDefault="00780EE6" w:rsidP="00780EE6">
      <w:pPr>
        <w:spacing w:after="0" w:line="240" w:lineRule="auto"/>
        <w:rPr>
          <w:rFonts w:eastAsia="Times New Roman"/>
          <w:i/>
          <w:color w:val="auto"/>
        </w:rPr>
      </w:pPr>
      <w:r w:rsidRPr="00780EE6">
        <w:rPr>
          <w:rFonts w:eastAsia="Times New Roman"/>
          <w:color w:val="auto"/>
        </w:rPr>
        <w:t xml:space="preserve">Kearney, M., &amp; </w:t>
      </w:r>
      <w:proofErr w:type="spellStart"/>
      <w:r w:rsidRPr="00780EE6">
        <w:rPr>
          <w:rFonts w:eastAsia="Times New Roman"/>
          <w:color w:val="auto"/>
        </w:rPr>
        <w:t>Schuck</w:t>
      </w:r>
      <w:proofErr w:type="spellEnd"/>
      <w:r w:rsidRPr="00780EE6">
        <w:rPr>
          <w:rFonts w:eastAsia="Times New Roman"/>
          <w:color w:val="auto"/>
        </w:rPr>
        <w:t>, S.</w:t>
      </w:r>
      <w:r>
        <w:rPr>
          <w:rFonts w:eastAsia="Times New Roman"/>
          <w:color w:val="auto"/>
        </w:rPr>
        <w:t xml:space="preserve"> </w:t>
      </w:r>
      <w:r w:rsidRPr="00780EE6">
        <w:rPr>
          <w:rFonts w:eastAsia="Times New Roman"/>
          <w:color w:val="auto"/>
        </w:rPr>
        <w:t>(2008).Exploring pedagogy with interactive wh</w:t>
      </w:r>
      <w:r>
        <w:rPr>
          <w:rFonts w:eastAsia="Times New Roman"/>
          <w:color w:val="auto"/>
        </w:rPr>
        <w:t>iteboards in Australian schools</w:t>
      </w:r>
      <w:r w:rsidRPr="00780EE6">
        <w:rPr>
          <w:rFonts w:eastAsia="Times New Roman"/>
          <w:color w:val="auto"/>
        </w:rPr>
        <w:t xml:space="preserve">. </w:t>
      </w:r>
      <w:r w:rsidRPr="00780EE6">
        <w:rPr>
          <w:rFonts w:eastAsia="Times New Roman"/>
          <w:i/>
          <w:color w:val="auto"/>
        </w:rPr>
        <w:t xml:space="preserve">Australian Educational </w:t>
      </w:r>
    </w:p>
    <w:p w:rsidR="00780EE6" w:rsidRPr="00780EE6" w:rsidRDefault="00780EE6" w:rsidP="00780EE6">
      <w:pPr>
        <w:spacing w:after="0" w:line="240" w:lineRule="auto"/>
        <w:ind w:firstLine="720"/>
        <w:rPr>
          <w:rFonts w:eastAsia="Times New Roman"/>
          <w:color w:val="auto"/>
        </w:rPr>
      </w:pPr>
      <w:r w:rsidRPr="00780EE6">
        <w:rPr>
          <w:rFonts w:eastAsia="Times New Roman"/>
          <w:i/>
          <w:color w:val="auto"/>
        </w:rPr>
        <w:t>Computing 23</w:t>
      </w:r>
      <w:r w:rsidRPr="00780EE6">
        <w:rPr>
          <w:rFonts w:eastAsia="Times New Roman"/>
          <w:color w:val="auto"/>
        </w:rPr>
        <w:t>(1)</w:t>
      </w:r>
      <w:proofErr w:type="gramStart"/>
      <w:r w:rsidRPr="00780EE6">
        <w:rPr>
          <w:rFonts w:eastAsia="Times New Roman"/>
          <w:color w:val="auto"/>
        </w:rPr>
        <w:t>,8</w:t>
      </w:r>
      <w:proofErr w:type="gramEnd"/>
      <w:r w:rsidRPr="00780EE6">
        <w:rPr>
          <w:rFonts w:eastAsia="Times New Roman"/>
          <w:color w:val="auto"/>
        </w:rPr>
        <w:t xml:space="preserve">-14 </w:t>
      </w:r>
    </w:p>
    <w:p w:rsidR="006827A6" w:rsidRDefault="00EF32D2" w:rsidP="00EF32D2">
      <w:pPr>
        <w:tabs>
          <w:tab w:val="left" w:pos="8865"/>
        </w:tabs>
        <w:autoSpaceDE w:val="0"/>
        <w:autoSpaceDN w:val="0"/>
        <w:adjustRightInd w:val="0"/>
        <w:spacing w:after="0" w:line="240" w:lineRule="auto"/>
        <w:ind w:left="720" w:hanging="720"/>
      </w:pPr>
      <w:r>
        <w:tab/>
      </w:r>
      <w:r>
        <w:tab/>
      </w:r>
    </w:p>
    <w:p w:rsidR="00C2244A" w:rsidRDefault="00C2244A" w:rsidP="00C2244A">
      <w:pPr>
        <w:autoSpaceDE w:val="0"/>
        <w:autoSpaceDN w:val="0"/>
        <w:adjustRightInd w:val="0"/>
        <w:spacing w:after="0" w:line="240" w:lineRule="auto"/>
      </w:pPr>
      <w:r>
        <w:lastRenderedPageBreak/>
        <w:t>Ochoa, M.N.,</w:t>
      </w:r>
      <w:r w:rsidR="00DB229E">
        <w:t xml:space="preserve"> &amp; Caswell, </w:t>
      </w:r>
      <w:bookmarkStart w:id="0" w:name="_GoBack"/>
      <w:bookmarkEnd w:id="0"/>
      <w:r>
        <w:t xml:space="preserve">T. (2012). </w:t>
      </w:r>
      <w:r w:rsidR="00DB229E">
        <w:rPr>
          <w:i/>
        </w:rPr>
        <w:t>SPEC kit 328: Collaborative teaching and learning t</w:t>
      </w:r>
      <w:r w:rsidRPr="00C2244A">
        <w:rPr>
          <w:i/>
        </w:rPr>
        <w:t>ools</w:t>
      </w:r>
      <w:r w:rsidR="00DB229E">
        <w:t>. Washington DC</w:t>
      </w:r>
      <w:r>
        <w:t xml:space="preserve">: Association of </w:t>
      </w:r>
    </w:p>
    <w:p w:rsidR="00C2244A" w:rsidRDefault="00C2244A" w:rsidP="00C2244A">
      <w:pPr>
        <w:autoSpaceDE w:val="0"/>
        <w:autoSpaceDN w:val="0"/>
        <w:adjustRightInd w:val="0"/>
        <w:spacing w:after="0" w:line="240" w:lineRule="auto"/>
        <w:ind w:firstLine="720"/>
      </w:pPr>
      <w:proofErr w:type="gramStart"/>
      <w:r>
        <w:t>Research Libraries.</w:t>
      </w:r>
      <w:proofErr w:type="gramEnd"/>
      <w:r>
        <w:t xml:space="preserve"> </w:t>
      </w:r>
    </w:p>
    <w:p w:rsidR="00C2244A" w:rsidRDefault="00C2244A" w:rsidP="008E7A18">
      <w:pPr>
        <w:autoSpaceDE w:val="0"/>
        <w:autoSpaceDN w:val="0"/>
        <w:adjustRightInd w:val="0"/>
        <w:spacing w:after="0" w:line="240" w:lineRule="auto"/>
      </w:pPr>
    </w:p>
    <w:p w:rsidR="00C2244A" w:rsidRDefault="00C2244A" w:rsidP="008E7A18">
      <w:pPr>
        <w:autoSpaceDE w:val="0"/>
        <w:autoSpaceDN w:val="0"/>
        <w:adjustRightInd w:val="0"/>
        <w:spacing w:after="0" w:line="240" w:lineRule="auto"/>
      </w:pPr>
    </w:p>
    <w:p w:rsidR="006827A6" w:rsidRDefault="00BF3551" w:rsidP="00A0245F">
      <w:pPr>
        <w:autoSpaceDE w:val="0"/>
        <w:autoSpaceDN w:val="0"/>
        <w:adjustRightInd w:val="0"/>
        <w:spacing w:after="0" w:line="240" w:lineRule="auto"/>
      </w:pPr>
      <w:r>
        <w:t xml:space="preserve">Schroeder, R. (2007). Active learning with interactive whiteboards: A literature review and case study for college freshmen. </w:t>
      </w:r>
    </w:p>
    <w:p w:rsidR="008E7A18" w:rsidRDefault="00BF3551" w:rsidP="006827A6">
      <w:pPr>
        <w:autoSpaceDE w:val="0"/>
        <w:autoSpaceDN w:val="0"/>
        <w:adjustRightInd w:val="0"/>
        <w:spacing w:after="0" w:line="240" w:lineRule="auto"/>
        <w:ind w:firstLine="720"/>
      </w:pPr>
      <w:r w:rsidRPr="00BF3551">
        <w:rPr>
          <w:i/>
        </w:rPr>
        <w:t>Communications in Information Literacy 1</w:t>
      </w:r>
      <w:r>
        <w:t>(2), 64-73.</w:t>
      </w:r>
    </w:p>
    <w:p w:rsidR="00780EE6" w:rsidRDefault="00780EE6" w:rsidP="00780EE6">
      <w:pPr>
        <w:autoSpaceDE w:val="0"/>
        <w:autoSpaceDN w:val="0"/>
        <w:adjustRightInd w:val="0"/>
        <w:spacing w:after="0" w:line="240" w:lineRule="auto"/>
      </w:pPr>
    </w:p>
    <w:p w:rsidR="00BF3551" w:rsidRDefault="00BF3551" w:rsidP="00A0245F">
      <w:pPr>
        <w:autoSpaceDE w:val="0"/>
        <w:autoSpaceDN w:val="0"/>
        <w:adjustRightInd w:val="0"/>
        <w:spacing w:after="0" w:line="240" w:lineRule="auto"/>
      </w:pPr>
    </w:p>
    <w:p w:rsidR="0075782F" w:rsidRDefault="008E7A18" w:rsidP="0075782F">
      <w:pPr>
        <w:autoSpaceDE w:val="0"/>
        <w:autoSpaceDN w:val="0"/>
        <w:adjustRightInd w:val="0"/>
        <w:spacing w:after="0" w:line="240" w:lineRule="auto"/>
      </w:pPr>
      <w:proofErr w:type="spellStart"/>
      <w:proofErr w:type="gramStart"/>
      <w:r>
        <w:t>Xu</w:t>
      </w:r>
      <w:proofErr w:type="spellEnd"/>
      <w:r>
        <w:t>, H.L.</w:t>
      </w:r>
      <w:r w:rsidR="0056268D">
        <w:t>,</w:t>
      </w:r>
      <w:r>
        <w:t xml:space="preserve"> &amp; </w:t>
      </w:r>
      <w:proofErr w:type="spellStart"/>
      <w:r>
        <w:t>Moloney</w:t>
      </w:r>
      <w:proofErr w:type="spellEnd"/>
      <w:r>
        <w:t>, R. (2011).</w:t>
      </w:r>
      <w:proofErr w:type="gramEnd"/>
      <w:r>
        <w:t xml:space="preserve"> “It makes the whole learning experience better”: Student feedback on the use of the interactive </w:t>
      </w:r>
    </w:p>
    <w:p w:rsidR="008E7A18" w:rsidRDefault="008E7A18" w:rsidP="0075782F">
      <w:pPr>
        <w:autoSpaceDE w:val="0"/>
        <w:autoSpaceDN w:val="0"/>
        <w:adjustRightInd w:val="0"/>
        <w:spacing w:after="0" w:line="240" w:lineRule="auto"/>
        <w:ind w:firstLine="720"/>
      </w:pPr>
      <w:proofErr w:type="gramStart"/>
      <w:r>
        <w:t>whiteboard</w:t>
      </w:r>
      <w:proofErr w:type="gramEnd"/>
      <w:r>
        <w:t xml:space="preserve"> in learning Chinese at the tertiary level. </w:t>
      </w:r>
      <w:r w:rsidRPr="008E7A18">
        <w:rPr>
          <w:i/>
        </w:rPr>
        <w:t>Asian Social Science</w:t>
      </w:r>
      <w:r>
        <w:t xml:space="preserve"> </w:t>
      </w:r>
      <w:r w:rsidR="0075782F">
        <w:t>7(11)</w:t>
      </w:r>
      <w:r w:rsidR="007D0D9F">
        <w:t xml:space="preserve">, 20-34. </w:t>
      </w:r>
      <w:r w:rsidR="0075782F">
        <w:t xml:space="preserve"> </w:t>
      </w:r>
    </w:p>
    <w:p w:rsidR="008E7A18" w:rsidRDefault="008E7A18" w:rsidP="00A0245F">
      <w:pPr>
        <w:autoSpaceDE w:val="0"/>
        <w:autoSpaceDN w:val="0"/>
        <w:adjustRightInd w:val="0"/>
        <w:spacing w:after="0" w:line="240" w:lineRule="auto"/>
      </w:pPr>
    </w:p>
    <w:p w:rsidR="00A0245F" w:rsidRDefault="00A0245F" w:rsidP="00A0245F">
      <w:pPr>
        <w:autoSpaceDE w:val="0"/>
        <w:autoSpaceDN w:val="0"/>
        <w:adjustRightInd w:val="0"/>
        <w:spacing w:after="0" w:line="240" w:lineRule="auto"/>
      </w:pPr>
      <w:r>
        <w:t xml:space="preserve">Young, J. (2002). ‘Electronic </w:t>
      </w:r>
      <w:proofErr w:type="spellStart"/>
      <w:r>
        <w:t>whiteboards’</w:t>
      </w:r>
      <w:proofErr w:type="spellEnd"/>
      <w:r>
        <w:t xml:space="preserve"> add flexibility to classrooms. </w:t>
      </w:r>
      <w:proofErr w:type="gramStart"/>
      <w:r w:rsidRPr="00A0245F">
        <w:rPr>
          <w:i/>
        </w:rPr>
        <w:t>Chronicle of Higher Education, 48</w:t>
      </w:r>
      <w:r>
        <w:t>(22), A36.</w:t>
      </w:r>
      <w:proofErr w:type="gramEnd"/>
      <w:r>
        <w:t xml:space="preserve"> </w:t>
      </w:r>
    </w:p>
    <w:p w:rsidR="00A0245F" w:rsidRDefault="00A0245F" w:rsidP="00A0245F">
      <w:pPr>
        <w:autoSpaceDE w:val="0"/>
        <w:autoSpaceDN w:val="0"/>
        <w:adjustRightInd w:val="0"/>
        <w:spacing w:after="0" w:line="240" w:lineRule="auto"/>
        <w:ind w:left="720" w:hanging="720"/>
      </w:pPr>
    </w:p>
    <w:p w:rsidR="00A0245F" w:rsidRDefault="0056268D" w:rsidP="00A0245F">
      <w:pPr>
        <w:autoSpaceDE w:val="0"/>
        <w:autoSpaceDN w:val="0"/>
        <w:adjustRightInd w:val="0"/>
        <w:spacing w:after="0" w:line="240" w:lineRule="auto"/>
        <w:ind w:left="720" w:hanging="720"/>
      </w:pPr>
      <w:r>
        <w:t xml:space="preserve">Young, J. </w:t>
      </w:r>
      <w:r w:rsidR="00A0245F">
        <w:t>(2006). Better technology in high schools raises students’ expectations</w:t>
      </w:r>
      <w:r w:rsidR="00A0245F" w:rsidRPr="00CE56CF">
        <w:t xml:space="preserve">. </w:t>
      </w:r>
      <w:proofErr w:type="gramStart"/>
      <w:r w:rsidR="00A0245F">
        <w:rPr>
          <w:i/>
          <w:iCs/>
        </w:rPr>
        <w:t>Chronicle o</w:t>
      </w:r>
      <w:r w:rsidR="00A0245F" w:rsidRPr="00CE56CF">
        <w:rPr>
          <w:i/>
          <w:iCs/>
        </w:rPr>
        <w:t>f Higher Education</w:t>
      </w:r>
      <w:r w:rsidR="00A0245F" w:rsidRPr="00CE56CF">
        <w:t xml:space="preserve">, </w:t>
      </w:r>
      <w:r w:rsidR="00A0245F">
        <w:rPr>
          <w:i/>
          <w:iCs/>
        </w:rPr>
        <w:t>53</w:t>
      </w:r>
      <w:r w:rsidR="00A0245F">
        <w:t>(5), A31</w:t>
      </w:r>
      <w:r w:rsidR="00A0245F" w:rsidRPr="00CE56CF">
        <w:t>.</w:t>
      </w:r>
      <w:proofErr w:type="gramEnd"/>
    </w:p>
    <w:p w:rsidR="00440423" w:rsidRDefault="00440423" w:rsidP="00A0245F">
      <w:pPr>
        <w:autoSpaceDE w:val="0"/>
        <w:autoSpaceDN w:val="0"/>
        <w:adjustRightInd w:val="0"/>
        <w:spacing w:after="0" w:line="240" w:lineRule="auto"/>
        <w:ind w:left="720" w:hanging="720"/>
      </w:pPr>
    </w:p>
    <w:p w:rsidR="00A0245F" w:rsidRDefault="00A0245F" w:rsidP="00A0245F">
      <w:pPr>
        <w:autoSpaceDE w:val="0"/>
        <w:autoSpaceDN w:val="0"/>
        <w:adjustRightInd w:val="0"/>
        <w:spacing w:after="0" w:line="240" w:lineRule="auto"/>
      </w:pPr>
    </w:p>
    <w:p w:rsidR="005C7FCA" w:rsidRDefault="005C7FCA" w:rsidP="009F6701">
      <w:pPr>
        <w:pStyle w:val="NoSpacing"/>
        <w:rPr>
          <w:rFonts w:ascii="Times New Roman" w:hAnsi="Times New Roman"/>
          <w:sz w:val="24"/>
          <w:szCs w:val="24"/>
        </w:rPr>
      </w:pPr>
    </w:p>
    <w:sectPr w:rsidR="005C7FCA" w:rsidSect="009A216B">
      <w:pgSz w:w="12240" w:h="15840" w:code="1"/>
      <w:pgMar w:top="1080" w:right="864" w:bottom="108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432" w:rsidRDefault="000A2432" w:rsidP="00CF43AC">
      <w:pPr>
        <w:spacing w:after="0" w:line="240" w:lineRule="auto"/>
      </w:pPr>
      <w:r>
        <w:separator/>
      </w:r>
    </w:p>
  </w:endnote>
  <w:endnote w:type="continuationSeparator" w:id="0">
    <w:p w:rsidR="000A2432" w:rsidRDefault="000A2432" w:rsidP="00CF4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3AC" w:rsidRPr="009A216B" w:rsidRDefault="008069AE" w:rsidP="000766AD">
    <w:pPr>
      <w:pStyle w:val="Footer"/>
      <w:tabs>
        <w:tab w:val="clear" w:pos="9360"/>
        <w:tab w:val="right" w:pos="10440"/>
      </w:tabs>
      <w:rPr>
        <w:b/>
      </w:rPr>
    </w:pPr>
    <w:r w:rsidRPr="009A216B">
      <w:rPr>
        <w:b/>
      </w:rPr>
      <w:fldChar w:fldCharType="begin"/>
    </w:r>
    <w:r w:rsidR="00BC4416" w:rsidRPr="009A216B">
      <w:rPr>
        <w:b/>
      </w:rPr>
      <w:instrText xml:space="preserve"> PAGE   \* MERGEFORMAT </w:instrText>
    </w:r>
    <w:r w:rsidRPr="009A216B">
      <w:rPr>
        <w:b/>
      </w:rPr>
      <w:fldChar w:fldCharType="separate"/>
    </w:r>
    <w:r w:rsidR="00DB229E">
      <w:rPr>
        <w:b/>
        <w:noProof/>
      </w:rPr>
      <w:t>4</w:t>
    </w:r>
    <w:r w:rsidRPr="009A216B">
      <w:rPr>
        <w:b/>
      </w:rPr>
      <w:fldChar w:fldCharType="end"/>
    </w:r>
    <w:r w:rsidR="00BC4416" w:rsidRPr="009A216B">
      <w:rPr>
        <w:b/>
      </w:rPr>
      <w:t xml:space="preserve">     </w:t>
    </w:r>
    <w:r w:rsidR="004B3E5B">
      <w:rPr>
        <w:b/>
      </w:rPr>
      <w:t xml:space="preserve">  </w:t>
    </w:r>
    <w:r w:rsidR="00BC4416" w:rsidRPr="009A216B">
      <w:rPr>
        <w:b/>
      </w:rPr>
      <w:t>LOEX-201</w:t>
    </w:r>
    <w:r w:rsidR="00DD0C43">
      <w:rPr>
        <w:b/>
      </w:rPr>
      <w:t>4</w:t>
    </w:r>
    <w:r w:rsidR="00BC4416" w:rsidRPr="009A216B">
      <w:t xml:space="preserve"> </w:t>
    </w:r>
    <w:r w:rsidR="00864C06" w:rsidRPr="009A216B">
      <w:tab/>
    </w:r>
    <w:r w:rsidR="00BC4416" w:rsidRPr="009A216B">
      <w:tab/>
    </w:r>
    <w:r w:rsidR="00BC4416" w:rsidRPr="009A216B">
      <w:rPr>
        <w:b/>
      </w:rPr>
      <w:t>-</w:t>
    </w:r>
    <w:r w:rsidR="00BC4416" w:rsidRPr="006E6811">
      <w:rPr>
        <w:rFonts w:ascii="Times New Roman Bold" w:hAnsi="Times New Roman Bold"/>
        <w:b/>
        <w:smallCaps/>
      </w:rPr>
      <w:t>Author Last Name 1, Last Name 2 and Last Name 3</w:t>
    </w:r>
    <w:r w:rsidR="00BC4416" w:rsidRPr="009A216B">
      <w:rPr>
        <w:b/>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3AC" w:rsidRPr="009A216B" w:rsidRDefault="00BC4416" w:rsidP="00392A98">
    <w:pPr>
      <w:pStyle w:val="Footer"/>
      <w:tabs>
        <w:tab w:val="clear" w:pos="9360"/>
        <w:tab w:val="right" w:pos="4680"/>
        <w:tab w:val="left" w:pos="9000"/>
      </w:tabs>
    </w:pPr>
    <w:r w:rsidRPr="009A216B">
      <w:rPr>
        <w:b/>
      </w:rPr>
      <w:t>-</w:t>
    </w:r>
    <w:r w:rsidRPr="006E6811">
      <w:rPr>
        <w:rFonts w:ascii="Times New Roman Bold" w:hAnsi="Times New Roman Bold"/>
        <w:b/>
        <w:smallCaps/>
      </w:rPr>
      <w:t>The Article Title Goes Here: LOEX Editor will do this</w:t>
    </w:r>
    <w:r w:rsidRPr="009A216B">
      <w:rPr>
        <w:b/>
      </w:rPr>
      <w:t>-</w:t>
    </w:r>
    <w:r w:rsidR="00864C06" w:rsidRPr="009A216B">
      <w:tab/>
    </w:r>
    <w:r w:rsidRPr="009A216B">
      <w:rPr>
        <w:b/>
      </w:rPr>
      <w:t>LOEX-201</w:t>
    </w:r>
    <w:r w:rsidR="00DD0C43">
      <w:rPr>
        <w:b/>
      </w:rPr>
      <w:t>4</w:t>
    </w:r>
    <w:r w:rsidR="00392A98">
      <w:rPr>
        <w:b/>
      </w:rPr>
      <w:t xml:space="preserve">  </w:t>
    </w:r>
    <w:r w:rsidR="00C41D7D" w:rsidRPr="009A216B">
      <w:rPr>
        <w:b/>
      </w:rPr>
      <w:t xml:space="preserve"> </w:t>
    </w:r>
    <w:r w:rsidR="004B3E5B">
      <w:rPr>
        <w:b/>
      </w:rPr>
      <w:t xml:space="preserve">    </w:t>
    </w:r>
    <w:r w:rsidR="008069AE" w:rsidRPr="009A216B">
      <w:rPr>
        <w:b/>
      </w:rPr>
      <w:fldChar w:fldCharType="begin"/>
    </w:r>
    <w:r w:rsidRPr="009A216B">
      <w:rPr>
        <w:b/>
      </w:rPr>
      <w:instrText xml:space="preserve"> PAGE   \* MERGEFORMAT </w:instrText>
    </w:r>
    <w:r w:rsidR="008069AE" w:rsidRPr="009A216B">
      <w:rPr>
        <w:b/>
      </w:rPr>
      <w:fldChar w:fldCharType="separate"/>
    </w:r>
    <w:r w:rsidR="00DB229E">
      <w:rPr>
        <w:b/>
        <w:noProof/>
      </w:rPr>
      <w:t>3</w:t>
    </w:r>
    <w:r w:rsidR="008069AE" w:rsidRPr="009A216B">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432" w:rsidRDefault="000A2432" w:rsidP="00CF43AC">
      <w:pPr>
        <w:spacing w:after="0" w:line="240" w:lineRule="auto"/>
      </w:pPr>
      <w:r>
        <w:separator/>
      </w:r>
    </w:p>
  </w:footnote>
  <w:footnote w:type="continuationSeparator" w:id="0">
    <w:p w:rsidR="000A2432" w:rsidRDefault="000A2432" w:rsidP="00CF43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46487"/>
    <w:multiLevelType w:val="hybridMultilevel"/>
    <w:tmpl w:val="3454F674"/>
    <w:lvl w:ilvl="0" w:tplc="DC5EAEB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2623931"/>
    <w:multiLevelType w:val="hybridMultilevel"/>
    <w:tmpl w:val="AD6EE8BA"/>
    <w:lvl w:ilvl="0" w:tplc="0FF4645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A44DFB"/>
    <w:multiLevelType w:val="hybridMultilevel"/>
    <w:tmpl w:val="A1C6D1DE"/>
    <w:lvl w:ilvl="0" w:tplc="CDA614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7333E7"/>
    <w:multiLevelType w:val="hybridMultilevel"/>
    <w:tmpl w:val="75C8EC2E"/>
    <w:lvl w:ilvl="0" w:tplc="0FF4645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7A715C"/>
    <w:multiLevelType w:val="hybridMultilevel"/>
    <w:tmpl w:val="2FAE7392"/>
    <w:lvl w:ilvl="0" w:tplc="3398B65E">
      <w:start w:val="1"/>
      <w:numFmt w:val="bullet"/>
      <w:lvlText w:val="•"/>
      <w:lvlJc w:val="left"/>
      <w:pPr>
        <w:tabs>
          <w:tab w:val="num" w:pos="720"/>
        </w:tabs>
        <w:ind w:left="720" w:hanging="360"/>
      </w:pPr>
      <w:rPr>
        <w:rFonts w:ascii="Times New Roman" w:hAnsi="Times New Roman" w:hint="default"/>
      </w:rPr>
    </w:lvl>
    <w:lvl w:ilvl="1" w:tplc="D794EC5E" w:tentative="1">
      <w:start w:val="1"/>
      <w:numFmt w:val="bullet"/>
      <w:lvlText w:val="•"/>
      <w:lvlJc w:val="left"/>
      <w:pPr>
        <w:tabs>
          <w:tab w:val="num" w:pos="1440"/>
        </w:tabs>
        <w:ind w:left="1440" w:hanging="360"/>
      </w:pPr>
      <w:rPr>
        <w:rFonts w:ascii="Times New Roman" w:hAnsi="Times New Roman" w:hint="default"/>
      </w:rPr>
    </w:lvl>
    <w:lvl w:ilvl="2" w:tplc="64021042" w:tentative="1">
      <w:start w:val="1"/>
      <w:numFmt w:val="bullet"/>
      <w:lvlText w:val="•"/>
      <w:lvlJc w:val="left"/>
      <w:pPr>
        <w:tabs>
          <w:tab w:val="num" w:pos="2160"/>
        </w:tabs>
        <w:ind w:left="2160" w:hanging="360"/>
      </w:pPr>
      <w:rPr>
        <w:rFonts w:ascii="Times New Roman" w:hAnsi="Times New Roman" w:hint="default"/>
      </w:rPr>
    </w:lvl>
    <w:lvl w:ilvl="3" w:tplc="2418F73C" w:tentative="1">
      <w:start w:val="1"/>
      <w:numFmt w:val="bullet"/>
      <w:lvlText w:val="•"/>
      <w:lvlJc w:val="left"/>
      <w:pPr>
        <w:tabs>
          <w:tab w:val="num" w:pos="2880"/>
        </w:tabs>
        <w:ind w:left="2880" w:hanging="360"/>
      </w:pPr>
      <w:rPr>
        <w:rFonts w:ascii="Times New Roman" w:hAnsi="Times New Roman" w:hint="default"/>
      </w:rPr>
    </w:lvl>
    <w:lvl w:ilvl="4" w:tplc="51A81286" w:tentative="1">
      <w:start w:val="1"/>
      <w:numFmt w:val="bullet"/>
      <w:lvlText w:val="•"/>
      <w:lvlJc w:val="left"/>
      <w:pPr>
        <w:tabs>
          <w:tab w:val="num" w:pos="3600"/>
        </w:tabs>
        <w:ind w:left="3600" w:hanging="360"/>
      </w:pPr>
      <w:rPr>
        <w:rFonts w:ascii="Times New Roman" w:hAnsi="Times New Roman" w:hint="default"/>
      </w:rPr>
    </w:lvl>
    <w:lvl w:ilvl="5" w:tplc="1CC04D1C" w:tentative="1">
      <w:start w:val="1"/>
      <w:numFmt w:val="bullet"/>
      <w:lvlText w:val="•"/>
      <w:lvlJc w:val="left"/>
      <w:pPr>
        <w:tabs>
          <w:tab w:val="num" w:pos="4320"/>
        </w:tabs>
        <w:ind w:left="4320" w:hanging="360"/>
      </w:pPr>
      <w:rPr>
        <w:rFonts w:ascii="Times New Roman" w:hAnsi="Times New Roman" w:hint="default"/>
      </w:rPr>
    </w:lvl>
    <w:lvl w:ilvl="6" w:tplc="89FE6586" w:tentative="1">
      <w:start w:val="1"/>
      <w:numFmt w:val="bullet"/>
      <w:lvlText w:val="•"/>
      <w:lvlJc w:val="left"/>
      <w:pPr>
        <w:tabs>
          <w:tab w:val="num" w:pos="5040"/>
        </w:tabs>
        <w:ind w:left="5040" w:hanging="360"/>
      </w:pPr>
      <w:rPr>
        <w:rFonts w:ascii="Times New Roman" w:hAnsi="Times New Roman" w:hint="default"/>
      </w:rPr>
    </w:lvl>
    <w:lvl w:ilvl="7" w:tplc="4E0A58A2" w:tentative="1">
      <w:start w:val="1"/>
      <w:numFmt w:val="bullet"/>
      <w:lvlText w:val="•"/>
      <w:lvlJc w:val="left"/>
      <w:pPr>
        <w:tabs>
          <w:tab w:val="num" w:pos="5760"/>
        </w:tabs>
        <w:ind w:left="5760" w:hanging="360"/>
      </w:pPr>
      <w:rPr>
        <w:rFonts w:ascii="Times New Roman" w:hAnsi="Times New Roman" w:hint="default"/>
      </w:rPr>
    </w:lvl>
    <w:lvl w:ilvl="8" w:tplc="C1EABD10" w:tentative="1">
      <w:start w:val="1"/>
      <w:numFmt w:val="bullet"/>
      <w:lvlText w:val="•"/>
      <w:lvlJc w:val="left"/>
      <w:pPr>
        <w:tabs>
          <w:tab w:val="num" w:pos="6480"/>
        </w:tabs>
        <w:ind w:left="6480" w:hanging="360"/>
      </w:pPr>
      <w:rPr>
        <w:rFonts w:ascii="Times New Roman" w:hAnsi="Times New Roman" w:hint="default"/>
      </w:rPr>
    </w:lvl>
  </w:abstractNum>
  <w:abstractNum w:abstractNumId="5">
    <w:nsid w:val="2D05615B"/>
    <w:multiLevelType w:val="hybridMultilevel"/>
    <w:tmpl w:val="55EA746A"/>
    <w:lvl w:ilvl="0" w:tplc="DC5EAEBE">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FFB5896"/>
    <w:multiLevelType w:val="hybridMultilevel"/>
    <w:tmpl w:val="5B6CA9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47612C"/>
    <w:multiLevelType w:val="hybridMultilevel"/>
    <w:tmpl w:val="4F9CA156"/>
    <w:lvl w:ilvl="0" w:tplc="DC5EAEBE">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3E32486"/>
    <w:multiLevelType w:val="hybridMultilevel"/>
    <w:tmpl w:val="A406FA60"/>
    <w:lvl w:ilvl="0" w:tplc="51F480B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685E1C"/>
    <w:multiLevelType w:val="hybridMultilevel"/>
    <w:tmpl w:val="25126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0A2CBA"/>
    <w:multiLevelType w:val="hybridMultilevel"/>
    <w:tmpl w:val="0A50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1"/>
  </w:num>
  <w:num w:numId="6">
    <w:abstractNumId w:val="2"/>
  </w:num>
  <w:num w:numId="7">
    <w:abstractNumId w:val="0"/>
  </w:num>
  <w:num w:numId="8">
    <w:abstractNumId w:val="7"/>
  </w:num>
  <w:num w:numId="9">
    <w:abstractNumId w:val="5"/>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D6C"/>
    <w:rsid w:val="0000730D"/>
    <w:rsid w:val="00007E20"/>
    <w:rsid w:val="000227B2"/>
    <w:rsid w:val="00056942"/>
    <w:rsid w:val="000766AD"/>
    <w:rsid w:val="0009332C"/>
    <w:rsid w:val="000A2432"/>
    <w:rsid w:val="000A7A5F"/>
    <w:rsid w:val="000B3B3F"/>
    <w:rsid w:val="000C0F66"/>
    <w:rsid w:val="000D712E"/>
    <w:rsid w:val="000E5A9C"/>
    <w:rsid w:val="000F05ED"/>
    <w:rsid w:val="00104B4F"/>
    <w:rsid w:val="0010634F"/>
    <w:rsid w:val="001156C9"/>
    <w:rsid w:val="001239C8"/>
    <w:rsid w:val="0012476D"/>
    <w:rsid w:val="00142F5F"/>
    <w:rsid w:val="00162C86"/>
    <w:rsid w:val="00166BA3"/>
    <w:rsid w:val="001677FB"/>
    <w:rsid w:val="00172609"/>
    <w:rsid w:val="001838A3"/>
    <w:rsid w:val="00195C25"/>
    <w:rsid w:val="001A3B36"/>
    <w:rsid w:val="001A5B75"/>
    <w:rsid w:val="001B1CA9"/>
    <w:rsid w:val="001B7B00"/>
    <w:rsid w:val="001C67C2"/>
    <w:rsid w:val="001D180D"/>
    <w:rsid w:val="001D4218"/>
    <w:rsid w:val="001D4431"/>
    <w:rsid w:val="001F1A01"/>
    <w:rsid w:val="00224050"/>
    <w:rsid w:val="00227A32"/>
    <w:rsid w:val="00230DAE"/>
    <w:rsid w:val="00233177"/>
    <w:rsid w:val="00240000"/>
    <w:rsid w:val="00242E2B"/>
    <w:rsid w:val="00243EE8"/>
    <w:rsid w:val="00254EEE"/>
    <w:rsid w:val="002560E8"/>
    <w:rsid w:val="00256BFB"/>
    <w:rsid w:val="00283620"/>
    <w:rsid w:val="00284A35"/>
    <w:rsid w:val="0029749E"/>
    <w:rsid w:val="002A7F63"/>
    <w:rsid w:val="002E3F9E"/>
    <w:rsid w:val="0033720B"/>
    <w:rsid w:val="00343F28"/>
    <w:rsid w:val="003471BB"/>
    <w:rsid w:val="00360E3D"/>
    <w:rsid w:val="00364168"/>
    <w:rsid w:val="0037441B"/>
    <w:rsid w:val="00376137"/>
    <w:rsid w:val="003836DB"/>
    <w:rsid w:val="00392A98"/>
    <w:rsid w:val="003A1BAC"/>
    <w:rsid w:val="003B3641"/>
    <w:rsid w:val="003B3F76"/>
    <w:rsid w:val="003D1B58"/>
    <w:rsid w:val="004022DD"/>
    <w:rsid w:val="00403222"/>
    <w:rsid w:val="00405C32"/>
    <w:rsid w:val="00440423"/>
    <w:rsid w:val="004451A2"/>
    <w:rsid w:val="00446928"/>
    <w:rsid w:val="00483C2F"/>
    <w:rsid w:val="00485201"/>
    <w:rsid w:val="004A5C7B"/>
    <w:rsid w:val="004B3E5B"/>
    <w:rsid w:val="004D4566"/>
    <w:rsid w:val="004F37BF"/>
    <w:rsid w:val="004F4A0F"/>
    <w:rsid w:val="005043B5"/>
    <w:rsid w:val="0051217C"/>
    <w:rsid w:val="00514A0B"/>
    <w:rsid w:val="005160D6"/>
    <w:rsid w:val="005341D5"/>
    <w:rsid w:val="00540E77"/>
    <w:rsid w:val="00543FB6"/>
    <w:rsid w:val="0056268D"/>
    <w:rsid w:val="00570FDC"/>
    <w:rsid w:val="00584AB5"/>
    <w:rsid w:val="005B124B"/>
    <w:rsid w:val="005C7FCA"/>
    <w:rsid w:val="005D7C8D"/>
    <w:rsid w:val="005E7500"/>
    <w:rsid w:val="005F4994"/>
    <w:rsid w:val="0060416E"/>
    <w:rsid w:val="00620220"/>
    <w:rsid w:val="00636484"/>
    <w:rsid w:val="00651796"/>
    <w:rsid w:val="0066431A"/>
    <w:rsid w:val="00665992"/>
    <w:rsid w:val="006827A6"/>
    <w:rsid w:val="006833C2"/>
    <w:rsid w:val="00693B6E"/>
    <w:rsid w:val="00696CDF"/>
    <w:rsid w:val="006A5E72"/>
    <w:rsid w:val="006D014D"/>
    <w:rsid w:val="006D585E"/>
    <w:rsid w:val="006E6811"/>
    <w:rsid w:val="006F1793"/>
    <w:rsid w:val="00703152"/>
    <w:rsid w:val="00715655"/>
    <w:rsid w:val="00722015"/>
    <w:rsid w:val="0073084F"/>
    <w:rsid w:val="00740EDC"/>
    <w:rsid w:val="0074451C"/>
    <w:rsid w:val="007562ED"/>
    <w:rsid w:val="0075782F"/>
    <w:rsid w:val="00777EEE"/>
    <w:rsid w:val="00780EE6"/>
    <w:rsid w:val="007B1D56"/>
    <w:rsid w:val="007B2DED"/>
    <w:rsid w:val="007C54A0"/>
    <w:rsid w:val="007D0D9F"/>
    <w:rsid w:val="007E7C40"/>
    <w:rsid w:val="008069AE"/>
    <w:rsid w:val="00807724"/>
    <w:rsid w:val="00822F4D"/>
    <w:rsid w:val="00855FA8"/>
    <w:rsid w:val="00864A02"/>
    <w:rsid w:val="00864C06"/>
    <w:rsid w:val="00871A90"/>
    <w:rsid w:val="00875D43"/>
    <w:rsid w:val="0088051F"/>
    <w:rsid w:val="008A2A4A"/>
    <w:rsid w:val="008E19F6"/>
    <w:rsid w:val="008E7A18"/>
    <w:rsid w:val="00905C7E"/>
    <w:rsid w:val="00906B18"/>
    <w:rsid w:val="00917248"/>
    <w:rsid w:val="00922993"/>
    <w:rsid w:val="00926B06"/>
    <w:rsid w:val="00936D81"/>
    <w:rsid w:val="00946C37"/>
    <w:rsid w:val="00961117"/>
    <w:rsid w:val="00966649"/>
    <w:rsid w:val="00974678"/>
    <w:rsid w:val="00976F4B"/>
    <w:rsid w:val="009A216B"/>
    <w:rsid w:val="009A4E75"/>
    <w:rsid w:val="009B0199"/>
    <w:rsid w:val="009B1FEF"/>
    <w:rsid w:val="009B43D7"/>
    <w:rsid w:val="009D0BB1"/>
    <w:rsid w:val="009D5F24"/>
    <w:rsid w:val="009F6701"/>
    <w:rsid w:val="00A0245F"/>
    <w:rsid w:val="00A53B96"/>
    <w:rsid w:val="00A54159"/>
    <w:rsid w:val="00A54784"/>
    <w:rsid w:val="00A54B01"/>
    <w:rsid w:val="00A62165"/>
    <w:rsid w:val="00A77D20"/>
    <w:rsid w:val="00A812D7"/>
    <w:rsid w:val="00A81A02"/>
    <w:rsid w:val="00AC2B88"/>
    <w:rsid w:val="00AC4B87"/>
    <w:rsid w:val="00AC79BA"/>
    <w:rsid w:val="00AD4B2F"/>
    <w:rsid w:val="00AE54A6"/>
    <w:rsid w:val="00AF43D8"/>
    <w:rsid w:val="00B10829"/>
    <w:rsid w:val="00B20D6C"/>
    <w:rsid w:val="00B33C6D"/>
    <w:rsid w:val="00B4313E"/>
    <w:rsid w:val="00B632A3"/>
    <w:rsid w:val="00B83613"/>
    <w:rsid w:val="00B916CA"/>
    <w:rsid w:val="00B92820"/>
    <w:rsid w:val="00B96AFB"/>
    <w:rsid w:val="00BA0A59"/>
    <w:rsid w:val="00BA0D2B"/>
    <w:rsid w:val="00BA1A60"/>
    <w:rsid w:val="00BC4416"/>
    <w:rsid w:val="00BD3AA9"/>
    <w:rsid w:val="00BE68CB"/>
    <w:rsid w:val="00BF3551"/>
    <w:rsid w:val="00BF51C4"/>
    <w:rsid w:val="00C07D7C"/>
    <w:rsid w:val="00C155C4"/>
    <w:rsid w:val="00C2244A"/>
    <w:rsid w:val="00C35815"/>
    <w:rsid w:val="00C37935"/>
    <w:rsid w:val="00C40263"/>
    <w:rsid w:val="00C41D7D"/>
    <w:rsid w:val="00C55ABB"/>
    <w:rsid w:val="00C62217"/>
    <w:rsid w:val="00C703CA"/>
    <w:rsid w:val="00C733B2"/>
    <w:rsid w:val="00C86F11"/>
    <w:rsid w:val="00C91522"/>
    <w:rsid w:val="00C95BB5"/>
    <w:rsid w:val="00CA1B28"/>
    <w:rsid w:val="00CC26CE"/>
    <w:rsid w:val="00CD252F"/>
    <w:rsid w:val="00CD45A6"/>
    <w:rsid w:val="00CE56CF"/>
    <w:rsid w:val="00CF43AC"/>
    <w:rsid w:val="00D014C8"/>
    <w:rsid w:val="00D243ED"/>
    <w:rsid w:val="00D32125"/>
    <w:rsid w:val="00D40E95"/>
    <w:rsid w:val="00D94BEE"/>
    <w:rsid w:val="00D96188"/>
    <w:rsid w:val="00DB2088"/>
    <w:rsid w:val="00DB229E"/>
    <w:rsid w:val="00DC175A"/>
    <w:rsid w:val="00DD098A"/>
    <w:rsid w:val="00DD0C43"/>
    <w:rsid w:val="00DD4F0D"/>
    <w:rsid w:val="00DE6CA4"/>
    <w:rsid w:val="00E049FC"/>
    <w:rsid w:val="00E2059A"/>
    <w:rsid w:val="00E2456E"/>
    <w:rsid w:val="00E32587"/>
    <w:rsid w:val="00E42BC2"/>
    <w:rsid w:val="00E63637"/>
    <w:rsid w:val="00E71230"/>
    <w:rsid w:val="00E72B08"/>
    <w:rsid w:val="00E82617"/>
    <w:rsid w:val="00E9213D"/>
    <w:rsid w:val="00EC7415"/>
    <w:rsid w:val="00ED6780"/>
    <w:rsid w:val="00EE342E"/>
    <w:rsid w:val="00EF0DD9"/>
    <w:rsid w:val="00EF1D1E"/>
    <w:rsid w:val="00EF32D2"/>
    <w:rsid w:val="00F048B4"/>
    <w:rsid w:val="00F10916"/>
    <w:rsid w:val="00F14A92"/>
    <w:rsid w:val="00F31A43"/>
    <w:rsid w:val="00F42797"/>
    <w:rsid w:val="00F51929"/>
    <w:rsid w:val="00F64134"/>
    <w:rsid w:val="00F74D32"/>
    <w:rsid w:val="00FC6C0D"/>
    <w:rsid w:val="00FE7DEA"/>
    <w:rsid w:val="00FF2E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D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0D6C"/>
    <w:pPr>
      <w:autoSpaceDE w:val="0"/>
      <w:autoSpaceDN w:val="0"/>
      <w:adjustRightInd w:val="0"/>
      <w:spacing w:after="0" w:line="240" w:lineRule="auto"/>
    </w:pPr>
    <w:rPr>
      <w:sz w:val="24"/>
      <w:szCs w:val="24"/>
    </w:rPr>
  </w:style>
  <w:style w:type="table" w:styleId="TableGrid">
    <w:name w:val="Table Grid"/>
    <w:basedOn w:val="TableNormal"/>
    <w:uiPriority w:val="59"/>
    <w:rsid w:val="00B20D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Default"/>
    <w:next w:val="Default"/>
    <w:uiPriority w:val="99"/>
    <w:rsid w:val="00CF43AC"/>
    <w:pPr>
      <w:spacing w:line="241" w:lineRule="atLeast"/>
    </w:pPr>
    <w:rPr>
      <w:color w:val="auto"/>
    </w:rPr>
  </w:style>
  <w:style w:type="paragraph" w:customStyle="1" w:styleId="Pa4">
    <w:name w:val="Pa4"/>
    <w:basedOn w:val="Default"/>
    <w:next w:val="Default"/>
    <w:uiPriority w:val="99"/>
    <w:rsid w:val="00CF43AC"/>
    <w:pPr>
      <w:spacing w:line="201" w:lineRule="atLeast"/>
    </w:pPr>
    <w:rPr>
      <w:color w:val="auto"/>
    </w:rPr>
  </w:style>
  <w:style w:type="paragraph" w:customStyle="1" w:styleId="Pa5">
    <w:name w:val="Pa5"/>
    <w:basedOn w:val="Default"/>
    <w:next w:val="Default"/>
    <w:uiPriority w:val="99"/>
    <w:rsid w:val="00CF43AC"/>
    <w:pPr>
      <w:spacing w:line="201" w:lineRule="atLeast"/>
    </w:pPr>
    <w:rPr>
      <w:color w:val="auto"/>
    </w:rPr>
  </w:style>
  <w:style w:type="paragraph" w:styleId="DocumentMap">
    <w:name w:val="Document Map"/>
    <w:basedOn w:val="Normal"/>
    <w:link w:val="DocumentMapChar"/>
    <w:uiPriority w:val="99"/>
    <w:semiHidden/>
    <w:unhideWhenUsed/>
    <w:rsid w:val="00CF43A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F43AC"/>
    <w:rPr>
      <w:rFonts w:ascii="Tahoma" w:hAnsi="Tahoma" w:cs="Tahoma"/>
      <w:sz w:val="16"/>
      <w:szCs w:val="16"/>
    </w:rPr>
  </w:style>
  <w:style w:type="paragraph" w:styleId="Header">
    <w:name w:val="header"/>
    <w:basedOn w:val="Normal"/>
    <w:link w:val="HeaderChar"/>
    <w:unhideWhenUsed/>
    <w:rsid w:val="00CF43AC"/>
    <w:pPr>
      <w:tabs>
        <w:tab w:val="center" w:pos="4680"/>
        <w:tab w:val="right" w:pos="9360"/>
      </w:tabs>
      <w:spacing w:after="0" w:line="240" w:lineRule="auto"/>
    </w:pPr>
  </w:style>
  <w:style w:type="character" w:customStyle="1" w:styleId="HeaderChar">
    <w:name w:val="Header Char"/>
    <w:basedOn w:val="DefaultParagraphFont"/>
    <w:link w:val="Header"/>
    <w:rsid w:val="00CF43AC"/>
  </w:style>
  <w:style w:type="paragraph" w:styleId="Footer">
    <w:name w:val="footer"/>
    <w:basedOn w:val="Normal"/>
    <w:link w:val="FooterChar"/>
    <w:uiPriority w:val="99"/>
    <w:unhideWhenUsed/>
    <w:rsid w:val="00CF43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3AC"/>
  </w:style>
  <w:style w:type="character" w:customStyle="1" w:styleId="A0">
    <w:name w:val="A0"/>
    <w:uiPriority w:val="99"/>
    <w:rsid w:val="00CF43AC"/>
    <w:rPr>
      <w:b/>
      <w:bCs/>
      <w:color w:val="000000"/>
      <w:sz w:val="20"/>
      <w:szCs w:val="20"/>
    </w:rPr>
  </w:style>
  <w:style w:type="paragraph" w:customStyle="1" w:styleId="Pa8">
    <w:name w:val="Pa8"/>
    <w:basedOn w:val="Default"/>
    <w:next w:val="Default"/>
    <w:uiPriority w:val="99"/>
    <w:rsid w:val="00C35815"/>
    <w:pPr>
      <w:spacing w:line="201" w:lineRule="atLeast"/>
    </w:pPr>
    <w:rPr>
      <w:color w:val="auto"/>
    </w:rPr>
  </w:style>
  <w:style w:type="character" w:customStyle="1" w:styleId="A6">
    <w:name w:val="A6"/>
    <w:uiPriority w:val="99"/>
    <w:rsid w:val="00C35815"/>
    <w:rPr>
      <w:color w:val="000000"/>
      <w:sz w:val="20"/>
      <w:szCs w:val="20"/>
      <w:u w:val="single"/>
    </w:rPr>
  </w:style>
  <w:style w:type="paragraph" w:styleId="BalloonText">
    <w:name w:val="Balloon Text"/>
    <w:basedOn w:val="Normal"/>
    <w:link w:val="BalloonTextChar"/>
    <w:uiPriority w:val="99"/>
    <w:semiHidden/>
    <w:unhideWhenUsed/>
    <w:rsid w:val="00FF2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ECB"/>
    <w:rPr>
      <w:rFonts w:ascii="Tahoma" w:hAnsi="Tahoma" w:cs="Tahoma"/>
      <w:sz w:val="16"/>
      <w:szCs w:val="16"/>
    </w:rPr>
  </w:style>
  <w:style w:type="character" w:styleId="Hyperlink">
    <w:name w:val="Hyperlink"/>
    <w:basedOn w:val="DefaultParagraphFont"/>
    <w:uiPriority w:val="99"/>
    <w:unhideWhenUsed/>
    <w:rsid w:val="00E71230"/>
    <w:rPr>
      <w:color w:val="0000FF" w:themeColor="hyperlink"/>
      <w:u w:val="single"/>
    </w:rPr>
  </w:style>
  <w:style w:type="paragraph" w:styleId="NoSpacing">
    <w:name w:val="No Spacing"/>
    <w:uiPriority w:val="1"/>
    <w:qFormat/>
    <w:rsid w:val="00E71230"/>
    <w:pPr>
      <w:spacing w:after="0" w:line="240" w:lineRule="auto"/>
    </w:pPr>
    <w:rPr>
      <w:rFonts w:ascii="Calibri" w:eastAsia="Calibri" w:hAnsi="Calibri"/>
    </w:rPr>
  </w:style>
  <w:style w:type="character" w:styleId="Emphasis">
    <w:name w:val="Emphasis"/>
    <w:basedOn w:val="DefaultParagraphFont"/>
    <w:uiPriority w:val="20"/>
    <w:rsid w:val="00543FB6"/>
    <w:rPr>
      <w:i/>
    </w:rPr>
  </w:style>
  <w:style w:type="paragraph" w:styleId="ListParagraph">
    <w:name w:val="List Paragraph"/>
    <w:basedOn w:val="Normal"/>
    <w:uiPriority w:val="34"/>
    <w:qFormat/>
    <w:rsid w:val="00172609"/>
    <w:pPr>
      <w:ind w:left="720"/>
      <w:contextualSpacing/>
    </w:pPr>
  </w:style>
  <w:style w:type="character" w:customStyle="1" w:styleId="article-citation">
    <w:name w:val="article-citation"/>
    <w:basedOn w:val="DefaultParagraphFont"/>
    <w:rsid w:val="00780E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D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0D6C"/>
    <w:pPr>
      <w:autoSpaceDE w:val="0"/>
      <w:autoSpaceDN w:val="0"/>
      <w:adjustRightInd w:val="0"/>
      <w:spacing w:after="0" w:line="240" w:lineRule="auto"/>
    </w:pPr>
    <w:rPr>
      <w:sz w:val="24"/>
      <w:szCs w:val="24"/>
    </w:rPr>
  </w:style>
  <w:style w:type="table" w:styleId="TableGrid">
    <w:name w:val="Table Grid"/>
    <w:basedOn w:val="TableNormal"/>
    <w:uiPriority w:val="59"/>
    <w:rsid w:val="00B20D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Default"/>
    <w:next w:val="Default"/>
    <w:uiPriority w:val="99"/>
    <w:rsid w:val="00CF43AC"/>
    <w:pPr>
      <w:spacing w:line="241" w:lineRule="atLeast"/>
    </w:pPr>
    <w:rPr>
      <w:color w:val="auto"/>
    </w:rPr>
  </w:style>
  <w:style w:type="paragraph" w:customStyle="1" w:styleId="Pa4">
    <w:name w:val="Pa4"/>
    <w:basedOn w:val="Default"/>
    <w:next w:val="Default"/>
    <w:uiPriority w:val="99"/>
    <w:rsid w:val="00CF43AC"/>
    <w:pPr>
      <w:spacing w:line="201" w:lineRule="atLeast"/>
    </w:pPr>
    <w:rPr>
      <w:color w:val="auto"/>
    </w:rPr>
  </w:style>
  <w:style w:type="paragraph" w:customStyle="1" w:styleId="Pa5">
    <w:name w:val="Pa5"/>
    <w:basedOn w:val="Default"/>
    <w:next w:val="Default"/>
    <w:uiPriority w:val="99"/>
    <w:rsid w:val="00CF43AC"/>
    <w:pPr>
      <w:spacing w:line="201" w:lineRule="atLeast"/>
    </w:pPr>
    <w:rPr>
      <w:color w:val="auto"/>
    </w:rPr>
  </w:style>
  <w:style w:type="paragraph" w:styleId="DocumentMap">
    <w:name w:val="Document Map"/>
    <w:basedOn w:val="Normal"/>
    <w:link w:val="DocumentMapChar"/>
    <w:uiPriority w:val="99"/>
    <w:semiHidden/>
    <w:unhideWhenUsed/>
    <w:rsid w:val="00CF43A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F43AC"/>
    <w:rPr>
      <w:rFonts w:ascii="Tahoma" w:hAnsi="Tahoma" w:cs="Tahoma"/>
      <w:sz w:val="16"/>
      <w:szCs w:val="16"/>
    </w:rPr>
  </w:style>
  <w:style w:type="paragraph" w:styleId="Header">
    <w:name w:val="header"/>
    <w:basedOn w:val="Normal"/>
    <w:link w:val="HeaderChar"/>
    <w:unhideWhenUsed/>
    <w:rsid w:val="00CF43AC"/>
    <w:pPr>
      <w:tabs>
        <w:tab w:val="center" w:pos="4680"/>
        <w:tab w:val="right" w:pos="9360"/>
      </w:tabs>
      <w:spacing w:after="0" w:line="240" w:lineRule="auto"/>
    </w:pPr>
  </w:style>
  <w:style w:type="character" w:customStyle="1" w:styleId="HeaderChar">
    <w:name w:val="Header Char"/>
    <w:basedOn w:val="DefaultParagraphFont"/>
    <w:link w:val="Header"/>
    <w:rsid w:val="00CF43AC"/>
  </w:style>
  <w:style w:type="paragraph" w:styleId="Footer">
    <w:name w:val="footer"/>
    <w:basedOn w:val="Normal"/>
    <w:link w:val="FooterChar"/>
    <w:uiPriority w:val="99"/>
    <w:unhideWhenUsed/>
    <w:rsid w:val="00CF43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3AC"/>
  </w:style>
  <w:style w:type="character" w:customStyle="1" w:styleId="A0">
    <w:name w:val="A0"/>
    <w:uiPriority w:val="99"/>
    <w:rsid w:val="00CF43AC"/>
    <w:rPr>
      <w:b/>
      <w:bCs/>
      <w:color w:val="000000"/>
      <w:sz w:val="20"/>
      <w:szCs w:val="20"/>
    </w:rPr>
  </w:style>
  <w:style w:type="paragraph" w:customStyle="1" w:styleId="Pa8">
    <w:name w:val="Pa8"/>
    <w:basedOn w:val="Default"/>
    <w:next w:val="Default"/>
    <w:uiPriority w:val="99"/>
    <w:rsid w:val="00C35815"/>
    <w:pPr>
      <w:spacing w:line="201" w:lineRule="atLeast"/>
    </w:pPr>
    <w:rPr>
      <w:color w:val="auto"/>
    </w:rPr>
  </w:style>
  <w:style w:type="character" w:customStyle="1" w:styleId="A6">
    <w:name w:val="A6"/>
    <w:uiPriority w:val="99"/>
    <w:rsid w:val="00C35815"/>
    <w:rPr>
      <w:color w:val="000000"/>
      <w:sz w:val="20"/>
      <w:szCs w:val="20"/>
      <w:u w:val="single"/>
    </w:rPr>
  </w:style>
  <w:style w:type="paragraph" w:styleId="BalloonText">
    <w:name w:val="Balloon Text"/>
    <w:basedOn w:val="Normal"/>
    <w:link w:val="BalloonTextChar"/>
    <w:uiPriority w:val="99"/>
    <w:semiHidden/>
    <w:unhideWhenUsed/>
    <w:rsid w:val="00FF2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ECB"/>
    <w:rPr>
      <w:rFonts w:ascii="Tahoma" w:hAnsi="Tahoma" w:cs="Tahoma"/>
      <w:sz w:val="16"/>
      <w:szCs w:val="16"/>
    </w:rPr>
  </w:style>
  <w:style w:type="character" w:styleId="Hyperlink">
    <w:name w:val="Hyperlink"/>
    <w:basedOn w:val="DefaultParagraphFont"/>
    <w:uiPriority w:val="99"/>
    <w:unhideWhenUsed/>
    <w:rsid w:val="00E71230"/>
    <w:rPr>
      <w:color w:val="0000FF" w:themeColor="hyperlink"/>
      <w:u w:val="single"/>
    </w:rPr>
  </w:style>
  <w:style w:type="paragraph" w:styleId="NoSpacing">
    <w:name w:val="No Spacing"/>
    <w:uiPriority w:val="1"/>
    <w:qFormat/>
    <w:rsid w:val="00E71230"/>
    <w:pPr>
      <w:spacing w:after="0" w:line="240" w:lineRule="auto"/>
    </w:pPr>
    <w:rPr>
      <w:rFonts w:ascii="Calibri" w:eastAsia="Calibri" w:hAnsi="Calibri"/>
    </w:rPr>
  </w:style>
  <w:style w:type="character" w:styleId="Emphasis">
    <w:name w:val="Emphasis"/>
    <w:basedOn w:val="DefaultParagraphFont"/>
    <w:uiPriority w:val="20"/>
    <w:rsid w:val="00543FB6"/>
    <w:rPr>
      <w:i/>
    </w:rPr>
  </w:style>
  <w:style w:type="paragraph" w:styleId="ListParagraph">
    <w:name w:val="List Paragraph"/>
    <w:basedOn w:val="Normal"/>
    <w:uiPriority w:val="34"/>
    <w:qFormat/>
    <w:rsid w:val="00172609"/>
    <w:pPr>
      <w:ind w:left="720"/>
      <w:contextualSpacing/>
    </w:pPr>
  </w:style>
  <w:style w:type="character" w:customStyle="1" w:styleId="article-citation">
    <w:name w:val="article-citation"/>
    <w:basedOn w:val="DefaultParagraphFont"/>
    <w:rsid w:val="00780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153031">
      <w:bodyDiv w:val="1"/>
      <w:marLeft w:val="0"/>
      <w:marRight w:val="0"/>
      <w:marTop w:val="0"/>
      <w:marBottom w:val="0"/>
      <w:divBdr>
        <w:top w:val="none" w:sz="0" w:space="0" w:color="auto"/>
        <w:left w:val="none" w:sz="0" w:space="0" w:color="auto"/>
        <w:bottom w:val="none" w:sz="0" w:space="0" w:color="auto"/>
        <w:right w:val="none" w:sz="0" w:space="0" w:color="auto"/>
      </w:divBdr>
      <w:divsChild>
        <w:div w:id="48919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4C736-E98D-4393-BA7B-232A690C9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5</Pages>
  <Words>2129</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Eastern Michigan University</Company>
  <LinksUpToDate>false</LinksUpToDate>
  <CharactersWithSpaces>14237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Sietz</dc:creator>
  <cp:lastModifiedBy>Lindy Scripps-Hoekstra</cp:lastModifiedBy>
  <cp:revision>58</cp:revision>
  <cp:lastPrinted>2014-04-25T14:32:00Z</cp:lastPrinted>
  <dcterms:created xsi:type="dcterms:W3CDTF">2014-04-15T14:33:00Z</dcterms:created>
  <dcterms:modified xsi:type="dcterms:W3CDTF">2014-04-25T15:05:00Z</dcterms:modified>
</cp:coreProperties>
</file>